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FE" w:rsidRDefault="00546CFE" w:rsidP="00546CFE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指数运行情况分析</w:t>
      </w:r>
    </w:p>
    <w:p w:rsidR="00546CFE" w:rsidRDefault="00546CFE" w:rsidP="00546CFE">
      <w:pPr>
        <w:pStyle w:val="1"/>
        <w:spacing w:before="200" w:after="200" w:line="360" w:lineRule="auto"/>
      </w:pPr>
      <w:bookmarkStart w:id="0" w:name="_Toc424829043"/>
      <w:r>
        <w:rPr>
          <w:rFonts w:hint="eastAsia"/>
        </w:rPr>
        <w:t>一</w:t>
      </w:r>
      <w:r>
        <w:rPr>
          <w:rFonts w:hint="eastAsia"/>
        </w:rPr>
        <w:t>.</w:t>
      </w:r>
      <w:r>
        <w:rPr>
          <w:rFonts w:hint="eastAsia"/>
        </w:rPr>
        <w:t>市场表现</w:t>
      </w:r>
      <w:bookmarkEnd w:id="0"/>
    </w:p>
    <w:p w:rsidR="00E311D9" w:rsidRDefault="00E311D9" w:rsidP="00E311D9">
      <w:pPr>
        <w:spacing w:line="360" w:lineRule="auto"/>
        <w:ind w:firstLineChars="200" w:firstLine="420"/>
        <w:rPr>
          <w:rFonts w:asciiTheme="minorEastAsia" w:hAnsiTheme="minorEastAsia"/>
        </w:rPr>
      </w:pPr>
      <w:r w:rsidRPr="0018690A">
        <w:rPr>
          <w:rFonts w:asciiTheme="minorEastAsia" w:hAnsiTheme="minorEastAsia" w:hint="eastAsia"/>
        </w:rPr>
        <w:t>本月</w:t>
      </w:r>
      <w:r>
        <w:rPr>
          <w:rFonts w:asciiTheme="minorEastAsia" w:hAnsiTheme="minorEastAsia" w:hint="eastAsia"/>
        </w:rPr>
        <w:t>，</w:t>
      </w:r>
      <w:r w:rsidRPr="00590080">
        <w:rPr>
          <w:rFonts w:asciiTheme="minorEastAsia" w:hAnsiTheme="minorEastAsia" w:hint="eastAsia"/>
        </w:rPr>
        <w:t>SBL中国民企52指数开盘5</w:t>
      </w:r>
      <w:r>
        <w:rPr>
          <w:rFonts w:asciiTheme="minorEastAsia" w:hAnsiTheme="minorEastAsia" w:hint="eastAsia"/>
        </w:rPr>
        <w:t>57.46</w:t>
      </w:r>
      <w:r w:rsidRPr="00590080">
        <w:rPr>
          <w:rFonts w:asciiTheme="minorEastAsia" w:hAnsiTheme="minorEastAsia" w:hint="eastAsia"/>
        </w:rPr>
        <w:t>点，最高</w:t>
      </w:r>
      <w:r>
        <w:rPr>
          <w:rFonts w:asciiTheme="minorEastAsia" w:hAnsiTheme="minorEastAsia" w:hint="eastAsia"/>
        </w:rPr>
        <w:t>610.51</w:t>
      </w:r>
      <w:r w:rsidRPr="00590080">
        <w:rPr>
          <w:rFonts w:asciiTheme="minorEastAsia" w:hAnsiTheme="minorEastAsia" w:hint="eastAsia"/>
        </w:rPr>
        <w:t>点，收盘</w:t>
      </w:r>
      <w:r>
        <w:rPr>
          <w:rFonts w:asciiTheme="minorEastAsia" w:hAnsiTheme="minorEastAsia" w:hint="eastAsia"/>
        </w:rPr>
        <w:t>602.55</w:t>
      </w:r>
      <w:r w:rsidRPr="00590080">
        <w:rPr>
          <w:rFonts w:asciiTheme="minorEastAsia" w:hAnsiTheme="minorEastAsia" w:hint="eastAsia"/>
        </w:rPr>
        <w:t>点，</w:t>
      </w:r>
      <w:r>
        <w:rPr>
          <w:rFonts w:asciiTheme="minorEastAsia" w:hAnsiTheme="minorEastAsia" w:hint="eastAsia"/>
        </w:rPr>
        <w:t>上涨65.22点</w:t>
      </w:r>
      <w:r w:rsidRPr="0059008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涨幅12.13</w:t>
      </w:r>
      <w:r w:rsidRPr="00590080">
        <w:rPr>
          <w:rFonts w:asciiTheme="minorEastAsia" w:hAnsiTheme="minorEastAsia" w:hint="eastAsia"/>
        </w:rPr>
        <w:t>%。</w:t>
      </w:r>
    </w:p>
    <w:p w:rsidR="00E311D9" w:rsidRDefault="00E311D9" w:rsidP="00E311D9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18690A">
        <w:rPr>
          <w:rFonts w:asciiTheme="minorEastAsia" w:hAnsiTheme="minorEastAsia" w:hint="eastAsia"/>
        </w:rPr>
        <w:t>同期，上证综指</w:t>
      </w:r>
      <w:r>
        <w:rPr>
          <w:rFonts w:asciiTheme="minorEastAsia" w:hAnsiTheme="minorEastAsia" w:hint="eastAsia"/>
        </w:rPr>
        <w:t>上涨</w:t>
      </w:r>
      <w:r>
        <w:rPr>
          <w:rFonts w:asciiTheme="minorEastAsia" w:hAnsiTheme="minorEastAsia"/>
          <w:szCs w:val="21"/>
        </w:rPr>
        <w:t>10.8</w:t>
      </w:r>
      <w:r w:rsidRPr="0018690A">
        <w:rPr>
          <w:rFonts w:asciiTheme="minorEastAsia" w:hAnsiTheme="minorEastAsia" w:hint="eastAsia"/>
        </w:rPr>
        <w:t>%，深证成指</w:t>
      </w:r>
      <w:r w:rsidRPr="000F11A4">
        <w:rPr>
          <w:rFonts w:asciiTheme="minorEastAsia" w:hAnsiTheme="minorEastAsia" w:hint="eastAsia"/>
        </w:rPr>
        <w:t>涨幅5.32%</w:t>
      </w:r>
      <w:r w:rsidRPr="0018690A">
        <w:rPr>
          <w:rFonts w:asciiTheme="minorEastAsia" w:hAnsiTheme="minorEastAsia" w:hint="eastAsia"/>
        </w:rPr>
        <w:t>，沪深</w:t>
      </w:r>
      <w:r>
        <w:rPr>
          <w:rFonts w:asciiTheme="minorEastAsia" w:hAnsiTheme="minorEastAsia" w:hint="eastAsia"/>
        </w:rPr>
        <w:t>上涨10.33</w:t>
      </w:r>
      <w:r>
        <w:rPr>
          <w:rFonts w:asciiTheme="minorEastAsia" w:hAnsiTheme="minorEastAsia" w:hint="eastAsia"/>
          <w:szCs w:val="21"/>
        </w:rPr>
        <w:t>%，中证民企200指数上涨14.12%，深证民营指数上涨15.97%。</w:t>
      </w:r>
    </w:p>
    <w:p w:rsidR="00E311D9" w:rsidRPr="005A27D5" w:rsidRDefault="00E311D9" w:rsidP="00E311D9">
      <w:pPr>
        <w:spacing w:line="360" w:lineRule="auto"/>
        <w:ind w:firstLineChars="200" w:firstLine="420"/>
      </w:pPr>
      <w:r w:rsidRPr="0018690A">
        <w:rPr>
          <w:rFonts w:asciiTheme="minorEastAsia" w:hAnsiTheme="minorEastAsia" w:hint="eastAsia"/>
        </w:rPr>
        <w:t>本月</w:t>
      </w:r>
      <w:r>
        <w:rPr>
          <w:rFonts w:asciiTheme="minorEastAsia" w:hAnsiTheme="minorEastAsia" w:hint="eastAsia"/>
        </w:rPr>
        <w:t>，</w:t>
      </w:r>
      <w:r w:rsidRPr="00590080">
        <w:rPr>
          <w:rFonts w:asciiTheme="minorEastAsia" w:hAnsiTheme="minorEastAsia" w:hint="eastAsia"/>
        </w:rPr>
        <w:t>SBL中国民企52指数</w:t>
      </w:r>
      <w:r>
        <w:rPr>
          <w:rFonts w:asciiTheme="minorEastAsia" w:hAnsiTheme="minorEastAsia" w:hint="eastAsia"/>
        </w:rPr>
        <w:t>上涨幅度明显超过上证综数、深证成指、沪深300等指数。</w:t>
      </w:r>
    </w:p>
    <w:p w:rsidR="00546CFE" w:rsidRDefault="00546CFE" w:rsidP="00EA192F">
      <w:pPr>
        <w:spacing w:beforeLines="50"/>
        <w:ind w:firstLineChars="200" w:firstLine="422"/>
        <w:jc w:val="center"/>
        <w:rPr>
          <w:b/>
        </w:rPr>
      </w:pPr>
      <w:r w:rsidRPr="003E537E">
        <w:rPr>
          <w:rFonts w:hint="eastAsia"/>
          <w:b/>
        </w:rPr>
        <w:t>图表</w:t>
      </w:r>
      <w:r w:rsidR="00CD1B68">
        <w:rPr>
          <w:rFonts w:hint="eastAsia"/>
          <w:b/>
        </w:rPr>
        <w:t>1</w:t>
      </w:r>
      <w:r w:rsidRPr="003E537E">
        <w:rPr>
          <w:rFonts w:hint="eastAsia"/>
          <w:b/>
        </w:rPr>
        <w:t>：</w:t>
      </w:r>
      <w:r w:rsidR="003E537E" w:rsidRPr="003E537E">
        <w:rPr>
          <w:rFonts w:hint="eastAsia"/>
          <w:b/>
        </w:rPr>
        <w:t>SBL</w:t>
      </w:r>
      <w:r w:rsidR="003E537E" w:rsidRPr="003E537E">
        <w:rPr>
          <w:rFonts w:hint="eastAsia"/>
          <w:b/>
        </w:rPr>
        <w:t>中国民企</w:t>
      </w:r>
      <w:r w:rsidR="003E537E" w:rsidRPr="003E537E">
        <w:rPr>
          <w:rFonts w:hint="eastAsia"/>
          <w:b/>
        </w:rPr>
        <w:t>52</w:t>
      </w:r>
      <w:r w:rsidR="003E537E" w:rsidRPr="003E537E">
        <w:rPr>
          <w:rFonts w:hint="eastAsia"/>
          <w:b/>
        </w:rPr>
        <w:t>指数与</w:t>
      </w:r>
      <w:r w:rsidRPr="003E537E">
        <w:rPr>
          <w:rFonts w:hint="eastAsia"/>
          <w:b/>
        </w:rPr>
        <w:t>主要指数表现对比</w:t>
      </w:r>
    </w:p>
    <w:p w:rsidR="003E537E" w:rsidRDefault="00CA3B03" w:rsidP="00EA192F">
      <w:pPr>
        <w:spacing w:beforeLines="50"/>
        <w:ind w:firstLineChars="200" w:firstLine="422"/>
        <w:jc w:val="center"/>
        <w:rPr>
          <w:b/>
        </w:rPr>
      </w:pPr>
      <w:r w:rsidRPr="00CA3B03">
        <w:rPr>
          <w:b/>
          <w:noProof/>
        </w:rPr>
        <w:drawing>
          <wp:inline distT="0" distB="0" distL="0" distR="0">
            <wp:extent cx="4572000" cy="2743200"/>
            <wp:effectExtent l="19050" t="0" r="1905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E537E" w:rsidRDefault="003E537E" w:rsidP="00EA192F">
      <w:pPr>
        <w:spacing w:beforeLines="50"/>
        <w:ind w:firstLineChars="200" w:firstLine="422"/>
        <w:jc w:val="center"/>
        <w:rPr>
          <w:b/>
        </w:rPr>
      </w:pPr>
      <w:r w:rsidRPr="003E537E">
        <w:rPr>
          <w:rFonts w:hint="eastAsia"/>
          <w:b/>
        </w:rPr>
        <w:t>图表</w:t>
      </w:r>
      <w:r w:rsidR="00CD1B68">
        <w:rPr>
          <w:rFonts w:hint="eastAsia"/>
          <w:b/>
        </w:rPr>
        <w:t>2</w:t>
      </w:r>
      <w:r w:rsidRPr="003E537E">
        <w:rPr>
          <w:rFonts w:hint="eastAsia"/>
          <w:b/>
        </w:rPr>
        <w:t>：</w:t>
      </w:r>
      <w:r w:rsidRPr="003E537E">
        <w:rPr>
          <w:rFonts w:hint="eastAsia"/>
          <w:b/>
        </w:rPr>
        <w:t>SBL</w:t>
      </w:r>
      <w:r w:rsidRPr="003E537E">
        <w:rPr>
          <w:rFonts w:hint="eastAsia"/>
          <w:b/>
        </w:rPr>
        <w:t>中国民企</w:t>
      </w:r>
      <w:r w:rsidRPr="003E537E">
        <w:rPr>
          <w:rFonts w:hint="eastAsia"/>
          <w:b/>
        </w:rPr>
        <w:t>52</w:t>
      </w:r>
      <w:r w:rsidRPr="003E537E">
        <w:rPr>
          <w:rFonts w:hint="eastAsia"/>
          <w:b/>
        </w:rPr>
        <w:t>指数与</w:t>
      </w:r>
      <w:r>
        <w:rPr>
          <w:rFonts w:hint="eastAsia"/>
          <w:b/>
        </w:rPr>
        <w:t>同类</w:t>
      </w:r>
      <w:r w:rsidRPr="003E537E">
        <w:rPr>
          <w:rFonts w:hint="eastAsia"/>
          <w:b/>
        </w:rPr>
        <w:t>指数表现对比</w:t>
      </w:r>
    </w:p>
    <w:p w:rsidR="00546CFE" w:rsidRDefault="00CA3B03" w:rsidP="00EA192F">
      <w:pPr>
        <w:spacing w:beforeLines="50"/>
        <w:ind w:firstLineChars="200" w:firstLine="422"/>
        <w:jc w:val="center"/>
        <w:rPr>
          <w:b/>
        </w:rPr>
      </w:pPr>
      <w:r w:rsidRPr="00CA3B03">
        <w:rPr>
          <w:b/>
          <w:noProof/>
        </w:rPr>
        <w:drawing>
          <wp:inline distT="0" distB="0" distL="0" distR="0">
            <wp:extent cx="4572000" cy="2743200"/>
            <wp:effectExtent l="19050" t="0" r="1905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6CFE" w:rsidRDefault="00546CFE" w:rsidP="00546CFE">
      <w:pPr>
        <w:pStyle w:val="1"/>
        <w:spacing w:before="200" w:after="200" w:line="360" w:lineRule="auto"/>
      </w:pPr>
      <w:bookmarkStart w:id="1" w:name="_Toc424829044"/>
      <w:r>
        <w:rPr>
          <w:rFonts w:hint="eastAsia"/>
        </w:rPr>
        <w:lastRenderedPageBreak/>
        <w:t>二</w:t>
      </w:r>
      <w:r>
        <w:rPr>
          <w:rFonts w:hint="eastAsia"/>
        </w:rPr>
        <w:t>.</w:t>
      </w:r>
      <w:r>
        <w:rPr>
          <w:rFonts w:hint="eastAsia"/>
        </w:rPr>
        <w:t>行业与公司权重</w:t>
      </w:r>
      <w:bookmarkEnd w:id="1"/>
    </w:p>
    <w:p w:rsidR="00546CFE" w:rsidRDefault="00546CFE" w:rsidP="00EA192F">
      <w:pPr>
        <w:spacing w:afterLines="50"/>
        <w:ind w:firstLineChars="200" w:firstLine="420"/>
      </w:pPr>
      <w:r>
        <w:rPr>
          <w:rFonts w:hint="eastAsia"/>
        </w:rPr>
        <w:t>按照证监会行业分类，</w:t>
      </w:r>
      <w:r w:rsidR="00BE4251" w:rsidRPr="00CD1B68">
        <w:rPr>
          <w:rFonts w:asciiTheme="minorEastAsia" w:hAnsiTheme="minorEastAsia" w:hint="eastAsia"/>
        </w:rPr>
        <w:t>本月</w:t>
      </w:r>
      <w:r w:rsidRPr="00CD1B68">
        <w:rPr>
          <w:rFonts w:asciiTheme="minorEastAsia" w:hAnsiTheme="minorEastAsia" w:hint="eastAsia"/>
        </w:rPr>
        <w:t>SBL52中国</w:t>
      </w:r>
      <w:r w:rsidRPr="00970916">
        <w:rPr>
          <w:rFonts w:hint="eastAsia"/>
        </w:rPr>
        <w:t>民企指数成分股</w:t>
      </w:r>
      <w:r>
        <w:rPr>
          <w:rFonts w:hint="eastAsia"/>
        </w:rPr>
        <w:t>中</w:t>
      </w:r>
      <w:r w:rsidR="00CD1B68">
        <w:rPr>
          <w:rFonts w:hint="eastAsia"/>
        </w:rPr>
        <w:t>行业分布为</w:t>
      </w:r>
      <w:r w:rsidR="00A60779">
        <w:rPr>
          <w:rFonts w:hint="eastAsia"/>
        </w:rPr>
        <w:t>如下</w:t>
      </w:r>
      <w:r w:rsidR="00CD1B68">
        <w:rPr>
          <w:rFonts w:hint="eastAsia"/>
        </w:rPr>
        <w:t>：</w:t>
      </w:r>
      <w:r>
        <w:rPr>
          <w:rFonts w:hint="eastAsia"/>
        </w:rPr>
        <w:t>制造业</w:t>
      </w:r>
      <w:r w:rsidR="00A60779">
        <w:rPr>
          <w:rFonts w:hint="eastAsia"/>
        </w:rPr>
        <w:t>38</w:t>
      </w:r>
      <w:r>
        <w:rPr>
          <w:rFonts w:hint="eastAsia"/>
        </w:rPr>
        <w:t>支，</w:t>
      </w:r>
      <w:r w:rsidRPr="00970916">
        <w:rPr>
          <w:rFonts w:hint="eastAsia"/>
        </w:rPr>
        <w:t>房地产与建筑业</w:t>
      </w:r>
      <w:r w:rsidR="00A60779">
        <w:rPr>
          <w:rFonts w:hint="eastAsia"/>
        </w:rPr>
        <w:t>2</w:t>
      </w:r>
      <w:r>
        <w:rPr>
          <w:rFonts w:hint="eastAsia"/>
        </w:rPr>
        <w:t>支，金融业</w:t>
      </w:r>
      <w:r>
        <w:rPr>
          <w:rFonts w:hint="eastAsia"/>
        </w:rPr>
        <w:t>3</w:t>
      </w:r>
      <w:r>
        <w:rPr>
          <w:rFonts w:hint="eastAsia"/>
        </w:rPr>
        <w:t>支，</w:t>
      </w:r>
      <w:r w:rsidR="00A60779">
        <w:rPr>
          <w:rFonts w:hint="eastAsia"/>
        </w:rPr>
        <w:t>旅游业</w:t>
      </w:r>
      <w:r w:rsidR="00A60779">
        <w:rPr>
          <w:rFonts w:hint="eastAsia"/>
        </w:rPr>
        <w:t>1</w:t>
      </w:r>
      <w:r w:rsidR="00A60779">
        <w:rPr>
          <w:rFonts w:hint="eastAsia"/>
        </w:rPr>
        <w:t>支，</w:t>
      </w:r>
      <w:r>
        <w:rPr>
          <w:rFonts w:hint="eastAsia"/>
        </w:rPr>
        <w:t>批发零售业</w:t>
      </w:r>
      <w:r>
        <w:rPr>
          <w:rFonts w:hint="eastAsia"/>
        </w:rPr>
        <w:t>1</w:t>
      </w:r>
      <w:r>
        <w:rPr>
          <w:rFonts w:hint="eastAsia"/>
        </w:rPr>
        <w:t>支，信息技术业</w:t>
      </w:r>
      <w:r w:rsidR="00A60779">
        <w:rPr>
          <w:rFonts w:hint="eastAsia"/>
        </w:rPr>
        <w:t>5</w:t>
      </w:r>
      <w:r>
        <w:rPr>
          <w:rFonts w:hint="eastAsia"/>
        </w:rPr>
        <w:t>支，公用事业</w:t>
      </w:r>
      <w:r>
        <w:rPr>
          <w:rFonts w:hint="eastAsia"/>
        </w:rPr>
        <w:t>1</w:t>
      </w:r>
      <w:r>
        <w:rPr>
          <w:rFonts w:hint="eastAsia"/>
        </w:rPr>
        <w:t>支，综合类</w:t>
      </w:r>
      <w:r w:rsidR="00A60779">
        <w:rPr>
          <w:rFonts w:hint="eastAsia"/>
        </w:rPr>
        <w:t>1</w:t>
      </w:r>
      <w:r>
        <w:rPr>
          <w:rFonts w:hint="eastAsia"/>
        </w:rPr>
        <w:t>支；其</w:t>
      </w:r>
      <w:r w:rsidR="00A60779">
        <w:rPr>
          <w:rFonts w:hint="eastAsia"/>
        </w:rPr>
        <w:t>中制造业和金融业市值占</w:t>
      </w:r>
      <w:r w:rsidR="00CE388E">
        <w:rPr>
          <w:rFonts w:hint="eastAsia"/>
        </w:rPr>
        <w:t>比</w:t>
      </w:r>
      <w:r>
        <w:rPr>
          <w:rFonts w:hint="eastAsia"/>
        </w:rPr>
        <w:t>分别为</w:t>
      </w:r>
      <w:r w:rsidR="00BE4251" w:rsidRPr="00BE4251">
        <w:rPr>
          <w:rFonts w:hint="eastAsia"/>
        </w:rPr>
        <w:t>4</w:t>
      </w:r>
      <w:r w:rsidR="00A60779">
        <w:rPr>
          <w:rFonts w:hint="eastAsia"/>
        </w:rPr>
        <w:t>2</w:t>
      </w:r>
      <w:r w:rsidR="00BE4251" w:rsidRPr="00BE4251">
        <w:rPr>
          <w:rFonts w:hint="eastAsia"/>
        </w:rPr>
        <w:t>%</w:t>
      </w:r>
      <w:r w:rsidR="00BE4251" w:rsidRPr="00BE4251">
        <w:rPr>
          <w:rFonts w:hint="eastAsia"/>
        </w:rPr>
        <w:t>、</w:t>
      </w:r>
      <w:r w:rsidR="00A60779">
        <w:rPr>
          <w:rFonts w:hint="eastAsia"/>
        </w:rPr>
        <w:t>3</w:t>
      </w:r>
      <w:r w:rsidR="00BE4251" w:rsidRPr="00BE4251">
        <w:rPr>
          <w:rFonts w:hint="eastAsia"/>
        </w:rPr>
        <w:t>8%</w:t>
      </w:r>
      <w:r>
        <w:rPr>
          <w:rFonts w:hint="eastAsia"/>
        </w:rPr>
        <w:t>。</w:t>
      </w:r>
    </w:p>
    <w:p w:rsidR="0024078C" w:rsidRPr="00302A81" w:rsidRDefault="0024078C" w:rsidP="00EA192F">
      <w:pPr>
        <w:spacing w:beforeLines="50"/>
        <w:ind w:firstLineChars="200" w:firstLine="422"/>
        <w:jc w:val="center"/>
        <w:rPr>
          <w:b/>
        </w:rPr>
      </w:pPr>
      <w:r w:rsidRPr="003E537E">
        <w:rPr>
          <w:rFonts w:hint="eastAsia"/>
          <w:b/>
        </w:rPr>
        <w:t>图表</w:t>
      </w:r>
      <w:r w:rsidR="00CD1B68">
        <w:rPr>
          <w:rFonts w:hint="eastAsia"/>
          <w:b/>
        </w:rPr>
        <w:t>3</w:t>
      </w:r>
      <w:r w:rsidRPr="003E537E">
        <w:rPr>
          <w:rFonts w:hint="eastAsia"/>
          <w:b/>
        </w:rPr>
        <w:t>：</w:t>
      </w:r>
      <w:r w:rsidRPr="003E537E">
        <w:rPr>
          <w:rFonts w:hint="eastAsia"/>
          <w:b/>
        </w:rPr>
        <w:t>SBL</w:t>
      </w:r>
      <w:r w:rsidRPr="003E537E">
        <w:rPr>
          <w:rFonts w:hint="eastAsia"/>
          <w:b/>
        </w:rPr>
        <w:t>中国民企</w:t>
      </w:r>
      <w:r w:rsidR="00147A68">
        <w:rPr>
          <w:rFonts w:hint="eastAsia"/>
          <w:b/>
        </w:rPr>
        <w:t>成分股行业</w:t>
      </w:r>
      <w:r w:rsidR="00F73E9F">
        <w:rPr>
          <w:rFonts w:hint="eastAsia"/>
          <w:b/>
        </w:rPr>
        <w:t>市值</w:t>
      </w:r>
      <w:r w:rsidR="00147A68">
        <w:rPr>
          <w:rFonts w:hint="eastAsia"/>
          <w:b/>
        </w:rPr>
        <w:t>占比</w:t>
      </w:r>
    </w:p>
    <w:p w:rsidR="0024078C" w:rsidRDefault="00147A68" w:rsidP="00EA192F">
      <w:pPr>
        <w:spacing w:beforeLines="50"/>
        <w:ind w:firstLineChars="200" w:firstLine="422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086100" cy="2466975"/>
            <wp:effectExtent l="19050" t="0" r="0" b="0"/>
            <wp:docPr id="4" name="图片 3" descr="201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A9A" w:rsidRPr="0024078C" w:rsidRDefault="00641A9A" w:rsidP="00EA192F">
      <w:pPr>
        <w:spacing w:beforeLines="50"/>
        <w:jc w:val="center"/>
        <w:rPr>
          <w:b/>
        </w:rPr>
      </w:pPr>
    </w:p>
    <w:p w:rsidR="00302A81" w:rsidRPr="0024078C" w:rsidRDefault="00C13E88" w:rsidP="00EA192F">
      <w:pPr>
        <w:spacing w:afterLines="50"/>
        <w:ind w:firstLineChars="200" w:firstLine="420"/>
      </w:pPr>
      <w:r>
        <w:rPr>
          <w:rFonts w:asciiTheme="minorEastAsia" w:hAnsiTheme="minorEastAsia" w:hint="eastAsia"/>
        </w:rPr>
        <w:t>10</w:t>
      </w:r>
      <w:r w:rsidR="0024078C" w:rsidRPr="00CD1B68">
        <w:rPr>
          <w:rFonts w:asciiTheme="minorEastAsia" w:hAnsiTheme="minorEastAsia" w:hint="eastAsia"/>
        </w:rPr>
        <w:t>月份，SBL52</w:t>
      </w:r>
      <w:r w:rsidR="0024078C" w:rsidRPr="00970916">
        <w:rPr>
          <w:rFonts w:hint="eastAsia"/>
        </w:rPr>
        <w:t>中国民企成分股</w:t>
      </w:r>
      <w:r w:rsidR="00302A81" w:rsidRPr="0024078C">
        <w:rPr>
          <w:rFonts w:hint="eastAsia"/>
        </w:rPr>
        <w:t>行业市值分布</w:t>
      </w:r>
      <w:r>
        <w:rPr>
          <w:rFonts w:hint="eastAsia"/>
        </w:rPr>
        <w:t>与占比</w:t>
      </w:r>
      <w:r w:rsidR="00302A81" w:rsidRPr="0024078C">
        <w:rPr>
          <w:rFonts w:hint="eastAsia"/>
        </w:rPr>
        <w:t>如下</w:t>
      </w:r>
      <w:r w:rsidR="0024078C">
        <w:rPr>
          <w:rFonts w:hint="eastAsia"/>
        </w:rPr>
        <w:t>表：</w:t>
      </w:r>
    </w:p>
    <w:p w:rsidR="00302A81" w:rsidRPr="00302A81" w:rsidRDefault="00302A81" w:rsidP="00EA192F">
      <w:pPr>
        <w:spacing w:beforeLines="50"/>
        <w:ind w:firstLineChars="200" w:firstLine="422"/>
        <w:jc w:val="center"/>
        <w:rPr>
          <w:b/>
        </w:rPr>
      </w:pPr>
      <w:r w:rsidRPr="003E537E">
        <w:rPr>
          <w:rFonts w:hint="eastAsia"/>
          <w:b/>
        </w:rPr>
        <w:t>图表</w:t>
      </w:r>
      <w:r w:rsidR="00CD1B68">
        <w:rPr>
          <w:rFonts w:hint="eastAsia"/>
          <w:b/>
        </w:rPr>
        <w:t>4</w:t>
      </w:r>
      <w:r w:rsidRPr="003E537E">
        <w:rPr>
          <w:rFonts w:hint="eastAsia"/>
          <w:b/>
        </w:rPr>
        <w:t>：</w:t>
      </w:r>
      <w:r w:rsidRPr="003E537E">
        <w:rPr>
          <w:rFonts w:hint="eastAsia"/>
          <w:b/>
        </w:rPr>
        <w:t>SBL</w:t>
      </w:r>
      <w:r w:rsidRPr="003E537E">
        <w:rPr>
          <w:rFonts w:hint="eastAsia"/>
          <w:b/>
        </w:rPr>
        <w:t>中国民企</w:t>
      </w:r>
      <w:r w:rsidRPr="003E537E">
        <w:rPr>
          <w:rFonts w:hint="eastAsia"/>
          <w:b/>
        </w:rPr>
        <w:t>52</w:t>
      </w:r>
      <w:r w:rsidRPr="003E537E">
        <w:rPr>
          <w:rFonts w:hint="eastAsia"/>
          <w:b/>
        </w:rPr>
        <w:t>指数</w:t>
      </w:r>
      <w:r w:rsidR="00147A68">
        <w:rPr>
          <w:rFonts w:hint="eastAsia"/>
          <w:b/>
        </w:rPr>
        <w:t>成分股</w:t>
      </w:r>
      <w:r w:rsidR="00A323CD">
        <w:rPr>
          <w:rFonts w:hint="eastAsia"/>
          <w:b/>
        </w:rPr>
        <w:t>行业</w:t>
      </w:r>
      <w:r w:rsidR="00147A68">
        <w:rPr>
          <w:rFonts w:hint="eastAsia"/>
          <w:b/>
        </w:rPr>
        <w:t>市值占比</w:t>
      </w:r>
    </w:p>
    <w:tbl>
      <w:tblPr>
        <w:tblW w:w="5560" w:type="dxa"/>
        <w:jc w:val="center"/>
        <w:tblInd w:w="103" w:type="dxa"/>
        <w:tblLook w:val="04A0"/>
      </w:tblPr>
      <w:tblGrid>
        <w:gridCol w:w="1860"/>
        <w:gridCol w:w="1780"/>
        <w:gridCol w:w="1920"/>
      </w:tblGrid>
      <w:tr w:rsidR="00CA3B03" w:rsidRPr="00CA3B03" w:rsidTr="00CA3B03">
        <w:trPr>
          <w:trHeight w:val="270"/>
          <w:jc w:val="center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03" w:rsidRPr="00CA3B03" w:rsidRDefault="00CA3B03" w:rsidP="00CA3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2" w:name="_Toc424829045"/>
            <w:r w:rsidRPr="00CA3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行业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03" w:rsidRPr="00CA3B03" w:rsidRDefault="00CA3B03" w:rsidP="00CA3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3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市值(亿元)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03" w:rsidRPr="00CA3B03" w:rsidRDefault="00CA3B03" w:rsidP="00CA3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3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占比</w:t>
            </w:r>
          </w:p>
        </w:tc>
      </w:tr>
      <w:tr w:rsidR="00CA3B03" w:rsidRPr="00CA3B03" w:rsidTr="00CA3B03">
        <w:trPr>
          <w:trHeight w:val="27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03" w:rsidRPr="00CA3B03" w:rsidRDefault="00CA3B03" w:rsidP="00CA3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3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批发零售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03" w:rsidRPr="00CA3B03" w:rsidRDefault="00CA3B03" w:rsidP="00CA3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3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1255.11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03" w:rsidRPr="00CA3B03" w:rsidRDefault="00CA3B03" w:rsidP="00CA3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3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4.43%</w:t>
            </w:r>
          </w:p>
        </w:tc>
      </w:tr>
      <w:tr w:rsidR="00CA3B03" w:rsidRPr="00CA3B03" w:rsidTr="00CA3B03">
        <w:trPr>
          <w:trHeight w:val="27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03" w:rsidRPr="00CA3B03" w:rsidRDefault="00CA3B03" w:rsidP="00CA3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3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03" w:rsidRPr="00CA3B03" w:rsidRDefault="00CA3B03" w:rsidP="00CA3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3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344.87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03" w:rsidRPr="00CA3B03" w:rsidRDefault="00CA3B03" w:rsidP="00CA3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3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1.22%</w:t>
            </w:r>
          </w:p>
        </w:tc>
      </w:tr>
      <w:tr w:rsidR="00CA3B03" w:rsidRPr="00CA3B03" w:rsidTr="00CA3B03">
        <w:trPr>
          <w:trHeight w:val="27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03" w:rsidRPr="00CA3B03" w:rsidRDefault="00CA3B03" w:rsidP="00CA3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3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03" w:rsidRPr="00CA3B03" w:rsidRDefault="00CA3B03" w:rsidP="00CA3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3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1531.59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03" w:rsidRPr="00CA3B03" w:rsidRDefault="00CA3B03" w:rsidP="00CA3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3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5.41%</w:t>
            </w:r>
          </w:p>
        </w:tc>
      </w:tr>
      <w:tr w:rsidR="00CA3B03" w:rsidRPr="00CA3B03" w:rsidTr="00CA3B03">
        <w:trPr>
          <w:trHeight w:val="27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03" w:rsidRPr="00CA3B03" w:rsidRDefault="00CA3B03" w:rsidP="00CA3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3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03" w:rsidRPr="00CA3B03" w:rsidRDefault="00CA3B03" w:rsidP="00CA3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3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536.95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03" w:rsidRPr="00CA3B03" w:rsidRDefault="00CA3B03" w:rsidP="00CA3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3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1.90%</w:t>
            </w:r>
          </w:p>
        </w:tc>
      </w:tr>
      <w:tr w:rsidR="00CA3B03" w:rsidRPr="00CA3B03" w:rsidTr="00CA3B03">
        <w:trPr>
          <w:trHeight w:val="27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03" w:rsidRPr="00CA3B03" w:rsidRDefault="00CA3B03" w:rsidP="00CA3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3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03" w:rsidRPr="00CA3B03" w:rsidRDefault="00CA3B03" w:rsidP="00CA3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3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135.69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03" w:rsidRPr="00CA3B03" w:rsidRDefault="00CA3B03" w:rsidP="00CA3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3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0.48%</w:t>
            </w:r>
          </w:p>
        </w:tc>
      </w:tr>
      <w:tr w:rsidR="00CA3B03" w:rsidRPr="00CA3B03" w:rsidTr="00CA3B03">
        <w:trPr>
          <w:trHeight w:val="27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03" w:rsidRPr="00CA3B03" w:rsidRDefault="00CA3B03" w:rsidP="00CA3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3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制造业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03" w:rsidRPr="00CA3B03" w:rsidRDefault="00CA3B03" w:rsidP="00CA3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3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11839.99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03" w:rsidRPr="00CA3B03" w:rsidRDefault="00CA3B03" w:rsidP="00CA3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3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41.82%</w:t>
            </w:r>
          </w:p>
        </w:tc>
      </w:tr>
      <w:tr w:rsidR="00CA3B03" w:rsidRPr="00CA3B03" w:rsidTr="00CA3B03">
        <w:trPr>
          <w:trHeight w:val="27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03" w:rsidRPr="00CA3B03" w:rsidRDefault="00CA3B03" w:rsidP="00CA3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3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03" w:rsidRPr="00CA3B03" w:rsidRDefault="00CA3B03" w:rsidP="00CA3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3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108.34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03" w:rsidRPr="00CA3B03" w:rsidRDefault="00CA3B03" w:rsidP="00CA3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3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38.27%</w:t>
            </w:r>
          </w:p>
        </w:tc>
      </w:tr>
      <w:tr w:rsidR="00CA3B03" w:rsidRPr="00CA3B03" w:rsidTr="00CA3B03">
        <w:trPr>
          <w:trHeight w:val="27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03" w:rsidRPr="00CA3B03" w:rsidRDefault="00CA3B03" w:rsidP="00CA3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3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03" w:rsidRPr="00CA3B03" w:rsidRDefault="00CA3B03" w:rsidP="00CA3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3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1831.07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03" w:rsidRPr="00CA3B03" w:rsidRDefault="00CA3B03" w:rsidP="00CA3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3B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6.47%</w:t>
            </w:r>
          </w:p>
        </w:tc>
      </w:tr>
      <w:tr w:rsidR="00CA3B03" w:rsidRPr="00CA3B03" w:rsidTr="00CA3B03">
        <w:trPr>
          <w:trHeight w:val="270"/>
          <w:jc w:val="center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03" w:rsidRPr="00CA3B03" w:rsidRDefault="00CA3B03" w:rsidP="00CA3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3B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总市值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03" w:rsidRPr="00CA3B03" w:rsidRDefault="00CA3B03" w:rsidP="00CA3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3B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28309.338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03" w:rsidRPr="00CA3B03" w:rsidRDefault="00CA3B03" w:rsidP="00CA3B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A3B0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100%</w:t>
            </w:r>
          </w:p>
        </w:tc>
      </w:tr>
    </w:tbl>
    <w:p w:rsidR="0024078C" w:rsidRDefault="004E2255" w:rsidP="00EA192F">
      <w:pPr>
        <w:spacing w:beforeLines="50"/>
        <w:ind w:firstLineChars="200" w:firstLine="420"/>
      </w:pPr>
      <w:r>
        <w:rPr>
          <w:rFonts w:hint="eastAsia"/>
        </w:rPr>
        <w:t>截止</w:t>
      </w:r>
      <w:r w:rsidR="0024078C">
        <w:rPr>
          <w:rFonts w:hint="eastAsia"/>
        </w:rPr>
        <w:t>本月收盘，</w:t>
      </w:r>
      <w:r w:rsidR="0024078C" w:rsidRPr="00CD1B68">
        <w:rPr>
          <w:rFonts w:asciiTheme="minorEastAsia" w:hAnsiTheme="minorEastAsia" w:hint="eastAsia"/>
        </w:rPr>
        <w:t>SBL52</w:t>
      </w:r>
      <w:r w:rsidR="0024078C" w:rsidRPr="00970916">
        <w:rPr>
          <w:rFonts w:hint="eastAsia"/>
        </w:rPr>
        <w:t>中国民企成分股</w:t>
      </w:r>
      <w:r w:rsidR="0024078C">
        <w:rPr>
          <w:rFonts w:hint="eastAsia"/>
        </w:rPr>
        <w:t>中前五大市值上市公司为：</w:t>
      </w:r>
      <w:r w:rsidR="0024078C" w:rsidRPr="0024078C">
        <w:rPr>
          <w:rFonts w:hint="eastAsia"/>
        </w:rPr>
        <w:t>中国平安、</w:t>
      </w:r>
      <w:r w:rsidR="006D2375" w:rsidRPr="0024078C">
        <w:rPr>
          <w:rFonts w:hint="eastAsia"/>
        </w:rPr>
        <w:t>民生银行、</w:t>
      </w:r>
      <w:r w:rsidR="00710EFE" w:rsidRPr="0024078C">
        <w:rPr>
          <w:rFonts w:hint="eastAsia"/>
        </w:rPr>
        <w:t>比亚迪</w:t>
      </w:r>
      <w:r w:rsidR="00710EFE">
        <w:rPr>
          <w:rFonts w:hint="eastAsia"/>
        </w:rPr>
        <w:t>、</w:t>
      </w:r>
      <w:r w:rsidR="0024078C" w:rsidRPr="0024078C">
        <w:rPr>
          <w:rFonts w:hint="eastAsia"/>
        </w:rPr>
        <w:t>平安银行、</w:t>
      </w:r>
      <w:r w:rsidR="006D2375" w:rsidRPr="006D2375">
        <w:rPr>
          <w:rFonts w:hint="eastAsia"/>
        </w:rPr>
        <w:t>万科</w:t>
      </w:r>
      <w:r w:rsidR="006D2375" w:rsidRPr="006D2375">
        <w:rPr>
          <w:rFonts w:hint="eastAsia"/>
        </w:rPr>
        <w:t>A</w:t>
      </w:r>
      <w:r w:rsidR="0024078C">
        <w:rPr>
          <w:rFonts w:hint="eastAsia"/>
        </w:rPr>
        <w:t>。</w:t>
      </w:r>
    </w:p>
    <w:p w:rsidR="00546CFE" w:rsidRDefault="00546CFE" w:rsidP="00546CFE">
      <w:pPr>
        <w:pStyle w:val="1"/>
        <w:spacing w:before="200" w:after="200" w:line="360" w:lineRule="auto"/>
      </w:pPr>
      <w:r>
        <w:rPr>
          <w:rFonts w:hint="eastAsia"/>
        </w:rPr>
        <w:t>三</w:t>
      </w:r>
      <w:r>
        <w:rPr>
          <w:rFonts w:hint="eastAsia"/>
        </w:rPr>
        <w:t>.</w:t>
      </w:r>
      <w:r>
        <w:rPr>
          <w:rFonts w:hint="eastAsia"/>
        </w:rPr>
        <w:t>相关性分析</w:t>
      </w:r>
      <w:bookmarkEnd w:id="2"/>
    </w:p>
    <w:p w:rsidR="00E311D9" w:rsidRPr="009E6E4D" w:rsidRDefault="00546CFE" w:rsidP="00E311D9">
      <w:pPr>
        <w:ind w:firstLineChars="200" w:firstLine="420"/>
        <w:rPr>
          <w:rFonts w:asciiTheme="minorEastAsia" w:hAnsiTheme="minorEastAsia"/>
        </w:rPr>
      </w:pPr>
      <w:r w:rsidRPr="009E6E4D">
        <w:rPr>
          <w:rFonts w:asciiTheme="minorEastAsia" w:hAnsiTheme="minorEastAsia" w:hint="eastAsia"/>
        </w:rPr>
        <w:t>将SBL52中国民企成指、上证指数、深证成指、沪深300、中证民企200、深证民营指数的日涨跌数据进行相关性分析，结果</w:t>
      </w:r>
      <w:r w:rsidR="00E311D9">
        <w:rPr>
          <w:rFonts w:asciiTheme="minorEastAsia" w:hAnsiTheme="minorEastAsia" w:hint="eastAsia"/>
        </w:rPr>
        <w:t>表明</w:t>
      </w:r>
      <w:r w:rsidR="00E75C87" w:rsidRPr="009E6E4D">
        <w:rPr>
          <w:rFonts w:asciiTheme="minorEastAsia" w:hAnsiTheme="minorEastAsia" w:hint="eastAsia"/>
        </w:rPr>
        <w:t>：</w:t>
      </w:r>
      <w:r w:rsidR="00E311D9" w:rsidRPr="009E6E4D">
        <w:rPr>
          <w:rFonts w:asciiTheme="minorEastAsia" w:hAnsiTheme="minorEastAsia" w:hint="eastAsia"/>
        </w:rPr>
        <w:t>本月SBL52中国民企指数与沪深300的相关性最高，达到0.</w:t>
      </w:r>
      <w:r w:rsidR="00E311D9">
        <w:rPr>
          <w:rFonts w:asciiTheme="minorEastAsia" w:hAnsiTheme="minorEastAsia" w:hint="eastAsia"/>
        </w:rPr>
        <w:t>8604</w:t>
      </w:r>
      <w:r w:rsidR="00E311D9" w:rsidRPr="009E6E4D">
        <w:rPr>
          <w:rFonts w:asciiTheme="minorEastAsia" w:hAnsiTheme="minorEastAsia" w:hint="eastAsia"/>
        </w:rPr>
        <w:t>；与</w:t>
      </w:r>
      <w:r w:rsidR="00E311D9">
        <w:rPr>
          <w:rFonts w:asciiTheme="minorEastAsia" w:hAnsiTheme="minorEastAsia" w:hint="eastAsia"/>
        </w:rPr>
        <w:t>上证综指</w:t>
      </w:r>
      <w:r w:rsidR="00E311D9" w:rsidRPr="009E6E4D">
        <w:rPr>
          <w:rFonts w:asciiTheme="minorEastAsia" w:hAnsiTheme="minorEastAsia" w:hint="eastAsia"/>
        </w:rPr>
        <w:t>相关性</w:t>
      </w:r>
      <w:r w:rsidR="00E311D9">
        <w:rPr>
          <w:rFonts w:asciiTheme="minorEastAsia" w:hAnsiTheme="minorEastAsia" w:hint="eastAsia"/>
        </w:rPr>
        <w:t>也</w:t>
      </w:r>
      <w:r w:rsidR="00E311D9" w:rsidRPr="009E6E4D">
        <w:rPr>
          <w:rFonts w:asciiTheme="minorEastAsia" w:hAnsiTheme="minorEastAsia" w:hint="eastAsia"/>
        </w:rPr>
        <w:t>较高，</w:t>
      </w:r>
      <w:r w:rsidR="00E311D9">
        <w:rPr>
          <w:rFonts w:asciiTheme="minorEastAsia" w:hAnsiTheme="minorEastAsia" w:hint="eastAsia"/>
        </w:rPr>
        <w:t>达到</w:t>
      </w:r>
      <w:r w:rsidR="00E311D9" w:rsidRPr="009E6E4D">
        <w:rPr>
          <w:rFonts w:asciiTheme="minorEastAsia" w:hAnsiTheme="minorEastAsia" w:hint="eastAsia"/>
        </w:rPr>
        <w:t>0.</w:t>
      </w:r>
      <w:r w:rsidR="00E311D9">
        <w:rPr>
          <w:rFonts w:asciiTheme="minorEastAsia" w:hAnsiTheme="minorEastAsia" w:hint="eastAsia"/>
        </w:rPr>
        <w:t>8535</w:t>
      </w:r>
      <w:r w:rsidR="00E311D9" w:rsidRPr="009E6E4D">
        <w:rPr>
          <w:rFonts w:asciiTheme="minorEastAsia" w:hAnsiTheme="minorEastAsia" w:hint="eastAsia"/>
        </w:rPr>
        <w:t>；与中证民企200</w:t>
      </w:r>
      <w:r w:rsidR="00E311D9">
        <w:rPr>
          <w:rFonts w:asciiTheme="minorEastAsia" w:hAnsiTheme="minorEastAsia" w:hint="eastAsia"/>
        </w:rPr>
        <w:t>和</w:t>
      </w:r>
      <w:r w:rsidR="00E311D9" w:rsidRPr="009E6E4D">
        <w:rPr>
          <w:rFonts w:asciiTheme="minorEastAsia" w:hAnsiTheme="minorEastAsia" w:hint="eastAsia"/>
        </w:rPr>
        <w:t>深证民营指数的相关性</w:t>
      </w:r>
      <w:r w:rsidR="00E311D9">
        <w:rPr>
          <w:rFonts w:asciiTheme="minorEastAsia" w:hAnsiTheme="minorEastAsia" w:hint="eastAsia"/>
        </w:rPr>
        <w:t>较</w:t>
      </w:r>
      <w:r w:rsidR="00E311D9" w:rsidRPr="009E6E4D">
        <w:rPr>
          <w:rFonts w:asciiTheme="minorEastAsia" w:hAnsiTheme="minorEastAsia" w:hint="eastAsia"/>
        </w:rPr>
        <w:t>低，</w:t>
      </w:r>
      <w:r w:rsidR="00E311D9">
        <w:rPr>
          <w:rFonts w:asciiTheme="minorEastAsia" w:hAnsiTheme="minorEastAsia" w:hint="eastAsia"/>
        </w:rPr>
        <w:t>但也达到0.8296和0.8293</w:t>
      </w:r>
      <w:r w:rsidR="00E311D9" w:rsidRPr="009E6E4D">
        <w:rPr>
          <w:rFonts w:asciiTheme="minorEastAsia" w:hAnsiTheme="minorEastAsia" w:hint="eastAsia"/>
        </w:rPr>
        <w:t>，主要原因是深证民营指数本月</w:t>
      </w:r>
      <w:r w:rsidR="00E311D9">
        <w:rPr>
          <w:rFonts w:asciiTheme="minorEastAsia" w:hAnsiTheme="minorEastAsia" w:hint="eastAsia"/>
        </w:rPr>
        <w:t>涨幅</w:t>
      </w:r>
      <w:r w:rsidR="00E311D9" w:rsidRPr="009E6E4D">
        <w:rPr>
          <w:rFonts w:asciiTheme="minorEastAsia" w:hAnsiTheme="minorEastAsia" w:hint="eastAsia"/>
        </w:rPr>
        <w:t>较大。</w:t>
      </w:r>
    </w:p>
    <w:p w:rsidR="0024078C" w:rsidRPr="0024078C" w:rsidRDefault="0024078C" w:rsidP="00EA192F">
      <w:pPr>
        <w:spacing w:beforeLines="50"/>
        <w:ind w:firstLineChars="200" w:firstLine="422"/>
        <w:jc w:val="center"/>
        <w:rPr>
          <w:b/>
        </w:rPr>
      </w:pPr>
      <w:r w:rsidRPr="0024078C">
        <w:rPr>
          <w:rFonts w:hint="eastAsia"/>
          <w:b/>
        </w:rPr>
        <w:lastRenderedPageBreak/>
        <w:t>图表</w:t>
      </w:r>
      <w:r w:rsidR="00CD1B68">
        <w:rPr>
          <w:rFonts w:hint="eastAsia"/>
          <w:b/>
        </w:rPr>
        <w:t>5</w:t>
      </w:r>
      <w:r w:rsidRPr="0024078C">
        <w:rPr>
          <w:rFonts w:hint="eastAsia"/>
          <w:b/>
        </w:rPr>
        <w:t>：</w:t>
      </w:r>
      <w:r w:rsidRPr="0024078C">
        <w:rPr>
          <w:rFonts w:hint="eastAsia"/>
          <w:b/>
        </w:rPr>
        <w:t>SBL52</w:t>
      </w:r>
      <w:r w:rsidRPr="0024078C">
        <w:rPr>
          <w:rFonts w:hint="eastAsia"/>
          <w:b/>
        </w:rPr>
        <w:t>中国民企指数与其他指数相关性</w:t>
      </w:r>
    </w:p>
    <w:tbl>
      <w:tblPr>
        <w:tblW w:w="7680" w:type="dxa"/>
        <w:jc w:val="center"/>
        <w:tblInd w:w="103" w:type="dxa"/>
        <w:tblLook w:val="04A0"/>
      </w:tblPr>
      <w:tblGrid>
        <w:gridCol w:w="1388"/>
        <w:gridCol w:w="1134"/>
        <w:gridCol w:w="1178"/>
        <w:gridCol w:w="1200"/>
        <w:gridCol w:w="1540"/>
        <w:gridCol w:w="1240"/>
      </w:tblGrid>
      <w:tr w:rsidR="00E75C87" w:rsidRPr="00E75C87" w:rsidTr="00BC3450">
        <w:trPr>
          <w:trHeight w:val="270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87" w:rsidRPr="00BC3450" w:rsidRDefault="00E75C87" w:rsidP="00E75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34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87" w:rsidRPr="00BC3450" w:rsidRDefault="00E75C87" w:rsidP="00E75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34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上证</w:t>
            </w:r>
            <w:r w:rsidR="00BC34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综指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87" w:rsidRPr="00BC3450" w:rsidRDefault="00E75C87" w:rsidP="00E75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34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深证成指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87" w:rsidRPr="00BC3450" w:rsidRDefault="00E75C87" w:rsidP="00E75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34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沪深300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87" w:rsidRPr="00BC3450" w:rsidRDefault="00E75C87" w:rsidP="00E75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34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中证民企200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87" w:rsidRPr="00BC3450" w:rsidRDefault="00E75C87" w:rsidP="00E75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C34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深证民营</w:t>
            </w:r>
          </w:p>
        </w:tc>
      </w:tr>
      <w:tr w:rsidR="00E75C87" w:rsidRPr="00E75C87" w:rsidTr="00BC3450">
        <w:trPr>
          <w:trHeight w:val="270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87" w:rsidRPr="00BC3450" w:rsidRDefault="00E75C87" w:rsidP="00E75C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34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sbl52</w:t>
            </w:r>
            <w:r w:rsidR="00BC34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87" w:rsidRPr="00BC3450" w:rsidRDefault="00093066" w:rsidP="00BC34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306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0.8535</w:t>
            </w:r>
            <w:r w:rsidR="00E75C87" w:rsidRPr="00BC34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87" w:rsidRPr="00BC3450" w:rsidRDefault="00093066" w:rsidP="00E75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306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0.8302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87" w:rsidRPr="00BC3450" w:rsidRDefault="00093066" w:rsidP="00E75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306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0.8604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87" w:rsidRPr="00BC3450" w:rsidRDefault="00093066" w:rsidP="00BC34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306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0.8296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C87" w:rsidRPr="00BC3450" w:rsidRDefault="00093066" w:rsidP="00E75C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9306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0.8293</w:t>
            </w:r>
          </w:p>
        </w:tc>
      </w:tr>
    </w:tbl>
    <w:p w:rsidR="00546CFE" w:rsidRDefault="00546CFE" w:rsidP="00546CFE">
      <w:pPr>
        <w:pStyle w:val="1"/>
        <w:spacing w:before="200" w:after="200" w:line="360" w:lineRule="auto"/>
      </w:pPr>
      <w:bookmarkStart w:id="3" w:name="_Toc424829046"/>
      <w:r>
        <w:rPr>
          <w:rFonts w:hint="eastAsia"/>
        </w:rPr>
        <w:t>四</w:t>
      </w:r>
      <w:r>
        <w:rPr>
          <w:rFonts w:hint="eastAsia"/>
        </w:rPr>
        <w:t>.</w:t>
      </w:r>
      <w:r>
        <w:rPr>
          <w:rFonts w:hint="eastAsia"/>
        </w:rPr>
        <w:t>风险收益特征分析</w:t>
      </w:r>
      <w:bookmarkEnd w:id="3"/>
    </w:p>
    <w:p w:rsidR="0024078C" w:rsidRPr="009E6E4D" w:rsidRDefault="00546CFE" w:rsidP="00A77593">
      <w:pPr>
        <w:spacing w:line="360" w:lineRule="auto"/>
        <w:ind w:firstLineChars="200" w:firstLine="420"/>
        <w:rPr>
          <w:rFonts w:asciiTheme="minorEastAsia" w:hAnsiTheme="minorEastAsia"/>
        </w:rPr>
      </w:pPr>
      <w:r w:rsidRPr="009E6E4D">
        <w:rPr>
          <w:rFonts w:asciiTheme="minorEastAsia" w:hAnsiTheme="minorEastAsia" w:hint="eastAsia"/>
        </w:rPr>
        <w:t>风险收益特征是衡量一个指数化投资优劣性的最为重要的方面，下面我们通过各指数2015年</w:t>
      </w:r>
      <w:r w:rsidR="00EA192F">
        <w:rPr>
          <w:rFonts w:asciiTheme="minorEastAsia" w:hAnsiTheme="minorEastAsia" w:hint="eastAsia"/>
        </w:rPr>
        <w:t>10</w:t>
      </w:r>
      <w:r w:rsidRPr="009E6E4D">
        <w:rPr>
          <w:rFonts w:asciiTheme="minorEastAsia" w:hAnsiTheme="minorEastAsia" w:hint="eastAsia"/>
        </w:rPr>
        <w:t>月份</w:t>
      </w:r>
      <w:r w:rsidR="0024078C" w:rsidRPr="009E6E4D">
        <w:rPr>
          <w:rFonts w:asciiTheme="minorEastAsia" w:hAnsiTheme="minorEastAsia" w:hint="eastAsia"/>
        </w:rPr>
        <w:t>波动率、β系数、夏普指数、詹森指数评价指标。</w:t>
      </w:r>
    </w:p>
    <w:p w:rsidR="00A77593" w:rsidRPr="009E6E4D" w:rsidRDefault="00546CFE" w:rsidP="00A77593">
      <w:pPr>
        <w:spacing w:line="360" w:lineRule="auto"/>
        <w:ind w:firstLineChars="200" w:firstLine="420"/>
        <w:rPr>
          <w:rFonts w:asciiTheme="minorEastAsia" w:hAnsiTheme="minorEastAsia"/>
        </w:rPr>
      </w:pPr>
      <w:r w:rsidRPr="009E6E4D">
        <w:rPr>
          <w:rFonts w:asciiTheme="minorEastAsia" w:hAnsiTheme="minorEastAsia" w:hint="eastAsia"/>
        </w:rPr>
        <w:t>β系数的基准指数为沪深300指数</w:t>
      </w:r>
      <w:r w:rsidR="0024078C" w:rsidRPr="009E6E4D">
        <w:rPr>
          <w:rFonts w:asciiTheme="minorEastAsia" w:hAnsiTheme="minorEastAsia" w:hint="eastAsia"/>
        </w:rPr>
        <w:t>，</w:t>
      </w:r>
      <w:r w:rsidR="00A77593" w:rsidRPr="009E6E4D">
        <w:rPr>
          <w:rFonts w:asciiTheme="minorEastAsia" w:hAnsiTheme="minorEastAsia" w:cs="Times New Roman" w:hint="eastAsia"/>
          <w:szCs w:val="20"/>
        </w:rPr>
        <w:t>无风险利率取样本时段区间内一年期</w:t>
      </w:r>
      <w:r w:rsidR="00A77593" w:rsidRPr="009E6E4D">
        <w:rPr>
          <w:rFonts w:asciiTheme="minorEastAsia" w:hAnsiTheme="minorEastAsia" w:hint="eastAsia"/>
          <w:szCs w:val="20"/>
        </w:rPr>
        <w:t>贷</w:t>
      </w:r>
      <w:r w:rsidR="00A77593" w:rsidRPr="009E6E4D">
        <w:rPr>
          <w:rFonts w:asciiTheme="minorEastAsia" w:hAnsiTheme="minorEastAsia" w:cs="Times New Roman" w:hint="eastAsia"/>
          <w:szCs w:val="20"/>
        </w:rPr>
        <w:t>款利率——</w:t>
      </w:r>
      <w:r w:rsidR="00CD1B68" w:rsidRPr="009E6E4D">
        <w:rPr>
          <w:rFonts w:asciiTheme="minorEastAsia" w:hAnsiTheme="minorEastAsia" w:hint="eastAsia"/>
          <w:szCs w:val="20"/>
        </w:rPr>
        <w:t>3.3</w:t>
      </w:r>
      <w:r w:rsidR="00A77593" w:rsidRPr="009E6E4D">
        <w:rPr>
          <w:rFonts w:asciiTheme="minorEastAsia" w:hAnsiTheme="minorEastAsia" w:cs="Times New Roman" w:hint="eastAsia"/>
          <w:szCs w:val="20"/>
        </w:rPr>
        <w:t>%</w:t>
      </w:r>
      <w:r w:rsidR="00A77593" w:rsidRPr="009E6E4D">
        <w:rPr>
          <w:rFonts w:asciiTheme="minorEastAsia" w:hAnsiTheme="minorEastAsia" w:hint="eastAsia"/>
        </w:rPr>
        <w:t>，</w:t>
      </w:r>
      <w:r w:rsidR="0024078C" w:rsidRPr="009E6E4D">
        <w:rPr>
          <w:rFonts w:asciiTheme="minorEastAsia" w:hAnsiTheme="minorEastAsia" w:hint="eastAsia"/>
        </w:rPr>
        <w:t>计算</w:t>
      </w:r>
      <w:r w:rsidR="00A77593" w:rsidRPr="009E6E4D">
        <w:rPr>
          <w:rFonts w:asciiTheme="minorEastAsia" w:hAnsiTheme="minorEastAsia" w:hint="eastAsia"/>
        </w:rPr>
        <w:t>结果如下：</w:t>
      </w:r>
    </w:p>
    <w:p w:rsidR="00370B0B" w:rsidRPr="00D077CD" w:rsidRDefault="00D077CD" w:rsidP="00D077CD">
      <w:pPr>
        <w:spacing w:beforeLines="50"/>
        <w:ind w:firstLineChars="200" w:firstLine="422"/>
        <w:jc w:val="center"/>
        <w:rPr>
          <w:b/>
        </w:rPr>
      </w:pPr>
      <w:r>
        <w:rPr>
          <w:rFonts w:hint="eastAsia"/>
          <w:b/>
        </w:rPr>
        <w:t>图表</w:t>
      </w:r>
      <w:r>
        <w:rPr>
          <w:rFonts w:hint="eastAsia"/>
          <w:b/>
        </w:rPr>
        <w:t>6</w:t>
      </w:r>
      <w:r>
        <w:rPr>
          <w:rFonts w:hint="eastAsia"/>
          <w:b/>
        </w:rPr>
        <w:t>：</w:t>
      </w:r>
      <w:r w:rsidR="00370B0B" w:rsidRPr="00D077CD">
        <w:rPr>
          <w:rFonts w:hint="eastAsia"/>
          <w:b/>
        </w:rPr>
        <w:t>各指数风险收益特征对比：</w:t>
      </w:r>
    </w:p>
    <w:tbl>
      <w:tblPr>
        <w:tblW w:w="8237" w:type="dxa"/>
        <w:tblInd w:w="93" w:type="dxa"/>
        <w:tblLook w:val="04A0"/>
      </w:tblPr>
      <w:tblGrid>
        <w:gridCol w:w="1080"/>
        <w:gridCol w:w="1300"/>
        <w:gridCol w:w="1080"/>
        <w:gridCol w:w="1080"/>
        <w:gridCol w:w="1429"/>
        <w:gridCol w:w="1276"/>
        <w:gridCol w:w="992"/>
      </w:tblGrid>
      <w:tr w:rsidR="00370B0B" w:rsidRPr="00A33698" w:rsidTr="00860D56">
        <w:trPr>
          <w:trHeight w:val="3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70B0B" w:rsidRPr="00A33698" w:rsidRDefault="00370B0B" w:rsidP="00860D56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70B0B" w:rsidRPr="00A33698" w:rsidRDefault="00370B0B" w:rsidP="00860D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336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SBL民企成指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70B0B" w:rsidRPr="00A33698" w:rsidRDefault="00370B0B" w:rsidP="00860D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336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上证综指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70B0B" w:rsidRPr="00A33698" w:rsidRDefault="00370B0B" w:rsidP="00860D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336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深证成指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70B0B" w:rsidRPr="00A33698" w:rsidRDefault="00370B0B" w:rsidP="00860D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336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中证民企200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70B0B" w:rsidRPr="00A33698" w:rsidRDefault="00370B0B" w:rsidP="00860D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336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深证民营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70B0B" w:rsidRPr="00A33698" w:rsidRDefault="00370B0B" w:rsidP="00860D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336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沪深300</w:t>
            </w:r>
          </w:p>
        </w:tc>
      </w:tr>
      <w:tr w:rsidR="00370B0B" w:rsidRPr="00A33698" w:rsidTr="00860D56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B0B" w:rsidRPr="00A33698" w:rsidRDefault="00370B0B" w:rsidP="00860D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36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波动率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B0B" w:rsidRPr="00A33698" w:rsidRDefault="00370B0B" w:rsidP="00860D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77B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0.5856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B0B" w:rsidRPr="00A33698" w:rsidRDefault="00370B0B" w:rsidP="00860D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77B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0.5404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B0B" w:rsidRPr="00A33698" w:rsidRDefault="00370B0B" w:rsidP="00860D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77B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0.7550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B0B" w:rsidRPr="00A33698" w:rsidRDefault="00370B0B" w:rsidP="00860D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77B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0.6732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B0B" w:rsidRPr="00A33698" w:rsidRDefault="00370B0B" w:rsidP="00860D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77B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0.7858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B0B" w:rsidRPr="00A33698" w:rsidRDefault="00370B0B" w:rsidP="00860D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377B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 xml:space="preserve">0.5288 </w:t>
            </w:r>
          </w:p>
        </w:tc>
      </w:tr>
      <w:tr w:rsidR="00370B0B" w:rsidRPr="00A33698" w:rsidTr="00860D56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B0B" w:rsidRPr="00A33698" w:rsidRDefault="00370B0B" w:rsidP="00860D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36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贝塔系数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B0B" w:rsidRPr="00A33698" w:rsidRDefault="00370B0B" w:rsidP="00860D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480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1.0701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B0B" w:rsidRPr="00A33698" w:rsidRDefault="00370B0B" w:rsidP="00860D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480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1.0212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B0B" w:rsidRPr="00A33698" w:rsidRDefault="00370B0B" w:rsidP="00860D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480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1.4170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B0B" w:rsidRPr="00A33698" w:rsidRDefault="00370B0B" w:rsidP="00860D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480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1.2688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B0B" w:rsidRPr="00A33698" w:rsidRDefault="00370B0B" w:rsidP="00860D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E480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1.4569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B0B" w:rsidRPr="00A33698" w:rsidRDefault="00370B0B" w:rsidP="00860D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36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370B0B" w:rsidRPr="00A33698" w:rsidTr="00860D56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B0B" w:rsidRPr="00A33698" w:rsidRDefault="00370B0B" w:rsidP="00860D5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A3369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夏普指数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B0B" w:rsidRPr="00A33698" w:rsidRDefault="00370B0B" w:rsidP="00860D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F7C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B0B" w:rsidRPr="00A33698" w:rsidRDefault="00370B0B" w:rsidP="00860D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F7C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B0B" w:rsidRPr="00A33698" w:rsidRDefault="00370B0B" w:rsidP="00860D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2F7C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B0B" w:rsidRPr="00A33698" w:rsidRDefault="00370B0B" w:rsidP="00860D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7248F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0.109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B0B" w:rsidRPr="00A33698" w:rsidRDefault="00370B0B" w:rsidP="00860D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60BD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0.110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B0B" w:rsidRPr="00A33698" w:rsidRDefault="00370B0B" w:rsidP="00860D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9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0.0968</w:t>
            </w:r>
          </w:p>
        </w:tc>
      </w:tr>
      <w:tr w:rsidR="00370B0B" w:rsidRPr="00A33698" w:rsidTr="00860D56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B0B" w:rsidRPr="00A33698" w:rsidRDefault="00370B0B" w:rsidP="00860D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36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詹森指数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B0B" w:rsidRPr="00A33698" w:rsidRDefault="00370B0B" w:rsidP="00860D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33E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0.0008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B0B" w:rsidRPr="00A33698" w:rsidRDefault="00370B0B" w:rsidP="00860D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9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0.00079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B0B" w:rsidRPr="00A33698" w:rsidRDefault="00370B0B" w:rsidP="00860D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9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0.00080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B0B" w:rsidRPr="00A33698" w:rsidRDefault="00370B0B" w:rsidP="00860D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9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0.0005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B0B" w:rsidRPr="00A33698" w:rsidRDefault="00370B0B" w:rsidP="00860D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5190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0.0007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B0B" w:rsidRPr="00A33698" w:rsidRDefault="00370B0B" w:rsidP="00860D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3369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</w:tbl>
    <w:p w:rsidR="00370B0B" w:rsidRPr="0065456D" w:rsidRDefault="00370B0B" w:rsidP="00370B0B">
      <w:pPr>
        <w:rPr>
          <w:szCs w:val="18"/>
        </w:rPr>
      </w:pPr>
    </w:p>
    <w:p w:rsidR="00370B0B" w:rsidRDefault="00370B0B" w:rsidP="00370B0B">
      <w:pPr>
        <w:spacing w:line="360" w:lineRule="auto"/>
        <w:ind w:firstLine="435"/>
        <w:rPr>
          <w:szCs w:val="18"/>
        </w:rPr>
      </w:pPr>
      <w:r>
        <w:rPr>
          <w:rFonts w:hint="eastAsia"/>
        </w:rPr>
        <w:t>本月</w:t>
      </w:r>
      <w:r w:rsidRPr="00DB1144">
        <w:rPr>
          <w:rFonts w:hint="eastAsia"/>
        </w:rPr>
        <w:t>SBL52</w:t>
      </w:r>
      <w:r w:rsidRPr="00DB1144">
        <w:rPr>
          <w:rFonts w:hint="eastAsia"/>
        </w:rPr>
        <w:t>中国民企</w:t>
      </w:r>
      <w:r>
        <w:rPr>
          <w:rFonts w:hint="eastAsia"/>
        </w:rPr>
        <w:t>指数</w:t>
      </w:r>
      <w:r>
        <w:rPr>
          <w:rFonts w:hint="eastAsia"/>
          <w:szCs w:val="18"/>
        </w:rPr>
        <w:t>β系数和波动率明显小于上证综指、深证成指，表现相对稳定。</w:t>
      </w:r>
    </w:p>
    <w:p w:rsidR="00370B0B" w:rsidRDefault="00370B0B" w:rsidP="00370B0B">
      <w:pPr>
        <w:spacing w:line="360" w:lineRule="auto"/>
        <w:ind w:firstLine="435"/>
      </w:pPr>
      <w:r>
        <w:rPr>
          <w:rFonts w:hint="eastAsia"/>
          <w:szCs w:val="18"/>
        </w:rPr>
        <w:t>从夏普指数来看，</w:t>
      </w:r>
      <w:r w:rsidRPr="00DB1144">
        <w:rPr>
          <w:rFonts w:hint="eastAsia"/>
        </w:rPr>
        <w:t xml:space="preserve"> SBL52</w:t>
      </w:r>
      <w:r w:rsidRPr="00DB1144">
        <w:rPr>
          <w:rFonts w:hint="eastAsia"/>
        </w:rPr>
        <w:t>民企</w:t>
      </w:r>
      <w:r>
        <w:rPr>
          <w:rFonts w:hint="eastAsia"/>
        </w:rPr>
        <w:t>指数明显优于上证综指、深证成指、中证民企</w:t>
      </w:r>
      <w:r>
        <w:rPr>
          <w:rFonts w:hint="eastAsia"/>
        </w:rPr>
        <w:t>200</w:t>
      </w:r>
      <w:r>
        <w:rPr>
          <w:rFonts w:hint="eastAsia"/>
        </w:rPr>
        <w:t>、深证民营、沪深</w:t>
      </w:r>
      <w:r>
        <w:rPr>
          <w:rFonts w:hint="eastAsia"/>
        </w:rPr>
        <w:t>300</w:t>
      </w:r>
      <w:r>
        <w:rPr>
          <w:rFonts w:hint="eastAsia"/>
        </w:rPr>
        <w:t>这五个指数。</w:t>
      </w:r>
    </w:p>
    <w:p w:rsidR="00370B0B" w:rsidRDefault="00370B0B" w:rsidP="00370B0B">
      <w:pPr>
        <w:spacing w:line="360" w:lineRule="auto"/>
        <w:ind w:firstLine="435"/>
      </w:pPr>
      <w:r>
        <w:rPr>
          <w:rFonts w:hint="eastAsia"/>
        </w:rPr>
        <w:t>从詹森指数来看，</w:t>
      </w:r>
      <w:r w:rsidRPr="00DB1144">
        <w:rPr>
          <w:rFonts w:hint="eastAsia"/>
        </w:rPr>
        <w:t>SBL52</w:t>
      </w:r>
      <w:r w:rsidRPr="00DB1144">
        <w:rPr>
          <w:rFonts w:hint="eastAsia"/>
        </w:rPr>
        <w:t>民企</w:t>
      </w:r>
      <w:r>
        <w:rPr>
          <w:rFonts w:hint="eastAsia"/>
        </w:rPr>
        <w:t>指数也优于市场基准组合，在以上几个指数中表现最好，略微超过其他五个指数。</w:t>
      </w:r>
    </w:p>
    <w:p w:rsidR="00CD1B68" w:rsidRPr="00370B0B" w:rsidRDefault="00370B0B" w:rsidP="00370B0B">
      <w:pPr>
        <w:spacing w:line="360" w:lineRule="auto"/>
        <w:ind w:firstLineChars="200" w:firstLine="420"/>
      </w:pPr>
      <w:r>
        <w:rPr>
          <w:rFonts w:hint="eastAsia"/>
        </w:rPr>
        <w:t>根据以上指标的对比，本月</w:t>
      </w:r>
      <w:r>
        <w:rPr>
          <w:rFonts w:hint="eastAsia"/>
        </w:rPr>
        <w:t>SBL52</w:t>
      </w:r>
      <w:r>
        <w:rPr>
          <w:rFonts w:hint="eastAsia"/>
        </w:rPr>
        <w:t>民企指数回撤和波动比其他几个指数明显要小，略微跑赢市场基准组合，综合比较后占优。</w:t>
      </w:r>
    </w:p>
    <w:p w:rsidR="00E92E94" w:rsidRPr="00CD1B68" w:rsidRDefault="00E92E94" w:rsidP="00A77593">
      <w:pPr>
        <w:ind w:firstLineChars="200" w:firstLine="420"/>
      </w:pPr>
    </w:p>
    <w:sectPr w:rsidR="00E92E94" w:rsidRPr="00CD1B68" w:rsidSect="00C44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2E9" w:rsidRDefault="007F02E9" w:rsidP="00546CFE">
      <w:r>
        <w:separator/>
      </w:r>
    </w:p>
  </w:endnote>
  <w:endnote w:type="continuationSeparator" w:id="1">
    <w:p w:rsidR="007F02E9" w:rsidRDefault="007F02E9" w:rsidP="00546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2E9" w:rsidRDefault="007F02E9" w:rsidP="00546CFE">
      <w:r>
        <w:separator/>
      </w:r>
    </w:p>
  </w:footnote>
  <w:footnote w:type="continuationSeparator" w:id="1">
    <w:p w:rsidR="007F02E9" w:rsidRDefault="007F02E9" w:rsidP="00546C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CFE"/>
    <w:rsid w:val="00093066"/>
    <w:rsid w:val="00147A68"/>
    <w:rsid w:val="0024078C"/>
    <w:rsid w:val="00302A81"/>
    <w:rsid w:val="003553D4"/>
    <w:rsid w:val="00361088"/>
    <w:rsid w:val="00370B0B"/>
    <w:rsid w:val="003E537E"/>
    <w:rsid w:val="00423C4B"/>
    <w:rsid w:val="00445CDE"/>
    <w:rsid w:val="00495498"/>
    <w:rsid w:val="004E2255"/>
    <w:rsid w:val="005448FC"/>
    <w:rsid w:val="00546CFE"/>
    <w:rsid w:val="00590974"/>
    <w:rsid w:val="00641A9A"/>
    <w:rsid w:val="006D2375"/>
    <w:rsid w:val="00710EFE"/>
    <w:rsid w:val="007C777E"/>
    <w:rsid w:val="007F02E9"/>
    <w:rsid w:val="008E3292"/>
    <w:rsid w:val="009300DB"/>
    <w:rsid w:val="009802EA"/>
    <w:rsid w:val="009A2E50"/>
    <w:rsid w:val="009A5F69"/>
    <w:rsid w:val="009E6E4D"/>
    <w:rsid w:val="00A323CD"/>
    <w:rsid w:val="00A60779"/>
    <w:rsid w:val="00A77593"/>
    <w:rsid w:val="00AA53B3"/>
    <w:rsid w:val="00B24E6A"/>
    <w:rsid w:val="00BB6E5C"/>
    <w:rsid w:val="00BC3450"/>
    <w:rsid w:val="00BE4251"/>
    <w:rsid w:val="00BF7FAF"/>
    <w:rsid w:val="00C13E88"/>
    <w:rsid w:val="00C4404E"/>
    <w:rsid w:val="00CA3B03"/>
    <w:rsid w:val="00CB1AC3"/>
    <w:rsid w:val="00CC24EB"/>
    <w:rsid w:val="00CD1B68"/>
    <w:rsid w:val="00CE388E"/>
    <w:rsid w:val="00CF4A31"/>
    <w:rsid w:val="00D077CD"/>
    <w:rsid w:val="00D22DBE"/>
    <w:rsid w:val="00D82C3E"/>
    <w:rsid w:val="00E311D9"/>
    <w:rsid w:val="00E75C87"/>
    <w:rsid w:val="00E92E94"/>
    <w:rsid w:val="00EA192F"/>
    <w:rsid w:val="00F73E9F"/>
    <w:rsid w:val="00FD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F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46CFE"/>
    <w:pPr>
      <w:keepNext/>
      <w:keepLines/>
      <w:spacing w:before="340" w:after="330" w:line="578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6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6C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6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6CF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46CFE"/>
    <w:rPr>
      <w:b/>
      <w:bCs/>
      <w:kern w:val="44"/>
      <w:sz w:val="24"/>
      <w:szCs w:val="44"/>
    </w:rPr>
  </w:style>
  <w:style w:type="table" w:styleId="a5">
    <w:name w:val="Table Grid"/>
    <w:basedOn w:val="a1"/>
    <w:uiPriority w:val="59"/>
    <w:rsid w:val="00546C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E537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53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0854;&#20182;\&#25237;&#36164;&#36890;&#35759;\10&#26376;\&#25968;&#25454;&#3492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0854;&#20182;\&#25237;&#36164;&#36890;&#35759;\10&#26376;\&#25968;&#25454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0.13394663167104143"/>
          <c:y val="0.12585848643919534"/>
          <c:w val="0.82716447944006999"/>
          <c:h val="0.82274095946340176"/>
        </c:manualLayout>
      </c:layout>
      <c:lineChart>
        <c:grouping val="standard"/>
        <c:ser>
          <c:idx val="0"/>
          <c:order val="0"/>
          <c:tx>
            <c:strRef>
              <c:f>Sheet2!$B$3</c:f>
              <c:strCache>
                <c:ptCount val="1"/>
                <c:pt idx="0">
                  <c:v>sbl52指数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none"/>
          </c:marker>
          <c:val>
            <c:numRef>
              <c:f>Sheet2!$B$4:$B$20</c:f>
              <c:numCache>
                <c:formatCode>0.00%</c:formatCode>
                <c:ptCount val="17"/>
                <c:pt idx="0">
                  <c:v>3.7500000000000006E-2</c:v>
                </c:pt>
                <c:pt idx="1">
                  <c:v>1.7000000000000006E-3</c:v>
                </c:pt>
                <c:pt idx="2">
                  <c:v>4.5699999999999998E-2</c:v>
                </c:pt>
                <c:pt idx="3">
                  <c:v>-2.53E-2</c:v>
                </c:pt>
                <c:pt idx="4">
                  <c:v>1.0000000000000005E-2</c:v>
                </c:pt>
                <c:pt idx="5">
                  <c:v>2.4299999999999999E-2</c:v>
                </c:pt>
                <c:pt idx="6">
                  <c:v>6.5000000000000032E-3</c:v>
                </c:pt>
                <c:pt idx="7">
                  <c:v>8.1000000000000048E-3</c:v>
                </c:pt>
                <c:pt idx="8">
                  <c:v>7.2000000000000033E-3</c:v>
                </c:pt>
                <c:pt idx="9">
                  <c:v>-3.2900000000000006E-2</c:v>
                </c:pt>
                <c:pt idx="10">
                  <c:v>1.7399999999999999E-2</c:v>
                </c:pt>
                <c:pt idx="11">
                  <c:v>2.1500000000000002E-2</c:v>
                </c:pt>
                <c:pt idx="12">
                  <c:v>6.5000000000000032E-3</c:v>
                </c:pt>
                <c:pt idx="13">
                  <c:v>2.8000000000000013E-3</c:v>
                </c:pt>
                <c:pt idx="14">
                  <c:v>-1.6199999999999999E-2</c:v>
                </c:pt>
                <c:pt idx="15">
                  <c:v>2.5999999999999999E-3</c:v>
                </c:pt>
                <c:pt idx="16">
                  <c:v>7.0000000000000032E-4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Sheet2!$C$3</c:f>
              <c:strCache>
                <c:ptCount val="1"/>
                <c:pt idx="0">
                  <c:v>上证综指</c:v>
                </c:pt>
              </c:strCache>
            </c:strRef>
          </c:tx>
          <c:spPr>
            <a:ln w="12700"/>
          </c:spPr>
          <c:marker>
            <c:symbol val="none"/>
          </c:marker>
          <c:val>
            <c:numRef>
              <c:f>Sheet2!$C$4:$C$20</c:f>
              <c:numCache>
                <c:formatCode>0.00%</c:formatCode>
                <c:ptCount val="17"/>
                <c:pt idx="0">
                  <c:v>2.9700000000000001E-2</c:v>
                </c:pt>
                <c:pt idx="1">
                  <c:v>1.2699999999999998E-2</c:v>
                </c:pt>
                <c:pt idx="2">
                  <c:v>3.2800000000000024E-2</c:v>
                </c:pt>
                <c:pt idx="3">
                  <c:v>1.7000000000000006E-3</c:v>
                </c:pt>
                <c:pt idx="4">
                  <c:v>-9.3000000000000062E-3</c:v>
                </c:pt>
                <c:pt idx="5">
                  <c:v>2.3199999999999988E-2</c:v>
                </c:pt>
                <c:pt idx="6">
                  <c:v>1.6000000000000011E-2</c:v>
                </c:pt>
                <c:pt idx="7">
                  <c:v>-1.4000000000000006E-3</c:v>
                </c:pt>
                <c:pt idx="8">
                  <c:v>1.1400000000000007E-2</c:v>
                </c:pt>
                <c:pt idx="9">
                  <c:v>-3.0599999999999999E-2</c:v>
                </c:pt>
                <c:pt idx="10">
                  <c:v>1.4500000000000001E-2</c:v>
                </c:pt>
                <c:pt idx="11">
                  <c:v>1.2999999999999998E-2</c:v>
                </c:pt>
                <c:pt idx="12">
                  <c:v>5.0000000000000027E-3</c:v>
                </c:pt>
                <c:pt idx="13">
                  <c:v>1.4000000000000006E-3</c:v>
                </c:pt>
                <c:pt idx="14">
                  <c:v>-1.72E-2</c:v>
                </c:pt>
                <c:pt idx="15">
                  <c:v>3.6000000000000016E-3</c:v>
                </c:pt>
                <c:pt idx="16">
                  <c:v>-1.4000000000000006E-3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Sheet2!$D$3</c:f>
              <c:strCache>
                <c:ptCount val="1"/>
                <c:pt idx="0">
                  <c:v>深证成指</c:v>
                </c:pt>
              </c:strCache>
            </c:strRef>
          </c:tx>
          <c:spPr>
            <a:ln w="12700"/>
          </c:spPr>
          <c:marker>
            <c:symbol val="none"/>
          </c:marker>
          <c:val>
            <c:numRef>
              <c:f>Sheet2!$D$4:$D$20</c:f>
              <c:numCache>
                <c:formatCode>0.00%</c:formatCode>
                <c:ptCount val="17"/>
                <c:pt idx="0">
                  <c:v>4.0700000000000014E-2</c:v>
                </c:pt>
                <c:pt idx="1">
                  <c:v>1.4E-2</c:v>
                </c:pt>
                <c:pt idx="2">
                  <c:v>4.0000000000000022E-2</c:v>
                </c:pt>
                <c:pt idx="3">
                  <c:v>7.4000000000000038E-3</c:v>
                </c:pt>
                <c:pt idx="4">
                  <c:v>-1.2699999999999998E-2</c:v>
                </c:pt>
                <c:pt idx="5">
                  <c:v>3.0100000000000002E-2</c:v>
                </c:pt>
                <c:pt idx="6">
                  <c:v>1.2999999999999998E-2</c:v>
                </c:pt>
                <c:pt idx="7">
                  <c:v>1.4000000000000006E-3</c:v>
                </c:pt>
                <c:pt idx="8">
                  <c:v>1.8100000000000012E-2</c:v>
                </c:pt>
                <c:pt idx="9">
                  <c:v>-5.8700000000000023E-2</c:v>
                </c:pt>
                <c:pt idx="10">
                  <c:v>3.5600000000000021E-2</c:v>
                </c:pt>
                <c:pt idx="11">
                  <c:v>2.6400000000000014E-2</c:v>
                </c:pt>
                <c:pt idx="12">
                  <c:v>7.3000000000000027E-3</c:v>
                </c:pt>
                <c:pt idx="13">
                  <c:v>6.0000000000000027E-3</c:v>
                </c:pt>
                <c:pt idx="14">
                  <c:v>-2.2500000000000006E-2</c:v>
                </c:pt>
                <c:pt idx="15">
                  <c:v>6.3000000000000026E-3</c:v>
                </c:pt>
                <c:pt idx="16">
                  <c:v>-1.8000000000000013E-3</c:v>
                </c:pt>
              </c:numCache>
            </c:numRef>
          </c:val>
          <c:smooth val="1"/>
        </c:ser>
        <c:ser>
          <c:idx val="3"/>
          <c:order val="3"/>
          <c:tx>
            <c:strRef>
              <c:f>Sheet2!$E$3</c:f>
              <c:strCache>
                <c:ptCount val="1"/>
                <c:pt idx="0">
                  <c:v>沪深300</c:v>
                </c:pt>
              </c:strCache>
            </c:strRef>
          </c:tx>
          <c:spPr>
            <a:ln w="12700"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none"/>
          </c:marker>
          <c:val>
            <c:numRef>
              <c:f>Sheet2!$E$4:$E$20</c:f>
              <c:numCache>
                <c:formatCode>0.00%</c:formatCode>
                <c:ptCount val="17"/>
                <c:pt idx="0">
                  <c:v>2.9200000000000011E-2</c:v>
                </c:pt>
                <c:pt idx="1">
                  <c:v>1.3200000000000007E-2</c:v>
                </c:pt>
                <c:pt idx="2">
                  <c:v>3.2199999999999999E-2</c:v>
                </c:pt>
                <c:pt idx="3">
                  <c:v>-8.0000000000000058E-4</c:v>
                </c:pt>
                <c:pt idx="4">
                  <c:v>-1.1299999999999998E-2</c:v>
                </c:pt>
                <c:pt idx="5">
                  <c:v>2.3699999999999999E-2</c:v>
                </c:pt>
                <c:pt idx="6">
                  <c:v>1.3599999999999998E-2</c:v>
                </c:pt>
                <c:pt idx="7">
                  <c:v>0</c:v>
                </c:pt>
                <c:pt idx="8">
                  <c:v>1.2300000000000005E-2</c:v>
                </c:pt>
                <c:pt idx="9">
                  <c:v>-2.9200000000000011E-2</c:v>
                </c:pt>
                <c:pt idx="10">
                  <c:v>1.4800000000000001E-2</c:v>
                </c:pt>
                <c:pt idx="11">
                  <c:v>1.3299999999999998E-2</c:v>
                </c:pt>
                <c:pt idx="12">
                  <c:v>5.0000000000000027E-3</c:v>
                </c:pt>
                <c:pt idx="13">
                  <c:v>1.0000000000000007E-3</c:v>
                </c:pt>
                <c:pt idx="14">
                  <c:v>-1.8900000000000011E-2</c:v>
                </c:pt>
                <c:pt idx="15">
                  <c:v>2.3999999999999998E-3</c:v>
                </c:pt>
                <c:pt idx="16">
                  <c:v>2.0000000000000015E-4</c:v>
                </c:pt>
              </c:numCache>
            </c:numRef>
          </c:val>
          <c:smooth val="1"/>
        </c:ser>
        <c:marker val="1"/>
        <c:axId val="142907648"/>
        <c:axId val="142970880"/>
      </c:lineChart>
      <c:catAx>
        <c:axId val="142907648"/>
        <c:scaling>
          <c:orientation val="minMax"/>
        </c:scaling>
        <c:axPos val="b"/>
        <c:tickLblPos val="nextTo"/>
        <c:crossAx val="142970880"/>
        <c:crosses val="autoZero"/>
        <c:auto val="1"/>
        <c:lblAlgn val="ctr"/>
        <c:lblOffset val="100"/>
      </c:catAx>
      <c:valAx>
        <c:axId val="142970880"/>
        <c:scaling>
          <c:orientation val="minMax"/>
          <c:max val="6.0000000000000032E-2"/>
          <c:min val="-6.0000000000000032E-2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sz="900"/>
            </a:pPr>
            <a:endParaRPr lang="zh-CN"/>
          </a:p>
        </c:txPr>
        <c:crossAx val="14290764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0.1249905949256345"/>
          <c:y val="0.12538385826771634"/>
          <c:w val="0.83889829396325533"/>
          <c:h val="0.8236902158063576"/>
        </c:manualLayout>
      </c:layout>
      <c:lineChart>
        <c:grouping val="standard"/>
        <c:ser>
          <c:idx val="0"/>
          <c:order val="0"/>
          <c:tx>
            <c:strRef>
              <c:f>Sheet2!$C$23</c:f>
              <c:strCache>
                <c:ptCount val="1"/>
                <c:pt idx="0">
                  <c:v>sbl52指数</c:v>
                </c:pt>
              </c:strCache>
            </c:strRef>
          </c:tx>
          <c:spPr>
            <a:ln w="19050">
              <a:solidFill>
                <a:srgbClr val="FF0000"/>
              </a:solidFill>
            </a:ln>
          </c:spPr>
          <c:marker>
            <c:symbol val="none"/>
          </c:marker>
          <c:val>
            <c:numRef>
              <c:f>Sheet2!$C$24:$C$40</c:f>
              <c:numCache>
                <c:formatCode>0.00%</c:formatCode>
                <c:ptCount val="17"/>
                <c:pt idx="0">
                  <c:v>3.7500000000000006E-2</c:v>
                </c:pt>
                <c:pt idx="1">
                  <c:v>1.7000000000000006E-3</c:v>
                </c:pt>
                <c:pt idx="2">
                  <c:v>4.5699999999999998E-2</c:v>
                </c:pt>
                <c:pt idx="3">
                  <c:v>-2.53E-2</c:v>
                </c:pt>
                <c:pt idx="4">
                  <c:v>1.0000000000000005E-2</c:v>
                </c:pt>
                <c:pt idx="5">
                  <c:v>2.4299999999999999E-2</c:v>
                </c:pt>
                <c:pt idx="6">
                  <c:v>6.5000000000000032E-3</c:v>
                </c:pt>
                <c:pt idx="7">
                  <c:v>8.1000000000000048E-3</c:v>
                </c:pt>
                <c:pt idx="8">
                  <c:v>7.2000000000000033E-3</c:v>
                </c:pt>
                <c:pt idx="9">
                  <c:v>-3.2900000000000006E-2</c:v>
                </c:pt>
                <c:pt idx="10">
                  <c:v>1.7399999999999999E-2</c:v>
                </c:pt>
                <c:pt idx="11">
                  <c:v>2.1500000000000002E-2</c:v>
                </c:pt>
                <c:pt idx="12">
                  <c:v>6.5000000000000032E-3</c:v>
                </c:pt>
                <c:pt idx="13">
                  <c:v>2.8000000000000013E-3</c:v>
                </c:pt>
                <c:pt idx="14">
                  <c:v>-1.6199999999999999E-2</c:v>
                </c:pt>
                <c:pt idx="15">
                  <c:v>2.5999999999999999E-3</c:v>
                </c:pt>
                <c:pt idx="16">
                  <c:v>7.0000000000000032E-4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Sheet2!$D$23</c:f>
              <c:strCache>
                <c:ptCount val="1"/>
                <c:pt idx="0">
                  <c:v>中证民企200</c:v>
                </c:pt>
              </c:strCache>
            </c:strRef>
          </c:tx>
          <c:spPr>
            <a:ln w="12700"/>
          </c:spPr>
          <c:marker>
            <c:symbol val="none"/>
          </c:marker>
          <c:val>
            <c:numRef>
              <c:f>Sheet2!$D$24:$D$40</c:f>
              <c:numCache>
                <c:formatCode>0.00%</c:formatCode>
                <c:ptCount val="17"/>
                <c:pt idx="0">
                  <c:v>3.6999999999999998E-2</c:v>
                </c:pt>
                <c:pt idx="1">
                  <c:v>1.3299999999999998E-2</c:v>
                </c:pt>
                <c:pt idx="2">
                  <c:v>3.4500000000000003E-2</c:v>
                </c:pt>
                <c:pt idx="3">
                  <c:v>5.7000000000000028E-3</c:v>
                </c:pt>
                <c:pt idx="4">
                  <c:v>-1.2200000000000001E-2</c:v>
                </c:pt>
                <c:pt idx="5">
                  <c:v>2.9600000000000001E-2</c:v>
                </c:pt>
                <c:pt idx="6">
                  <c:v>1.2699999999999998E-2</c:v>
                </c:pt>
                <c:pt idx="7">
                  <c:v>6.0000000000000038E-4</c:v>
                </c:pt>
                <c:pt idx="8">
                  <c:v>1.8200000000000011E-2</c:v>
                </c:pt>
                <c:pt idx="9">
                  <c:v>-4.8800000000000003E-2</c:v>
                </c:pt>
                <c:pt idx="10">
                  <c:v>3.0400000000000014E-2</c:v>
                </c:pt>
                <c:pt idx="11">
                  <c:v>2.1200000000000014E-2</c:v>
                </c:pt>
                <c:pt idx="12">
                  <c:v>8.4000000000000047E-3</c:v>
                </c:pt>
                <c:pt idx="13">
                  <c:v>8.0000000000000058E-4</c:v>
                </c:pt>
                <c:pt idx="14">
                  <c:v>-2.1100000000000001E-2</c:v>
                </c:pt>
                <c:pt idx="15">
                  <c:v>6.0000000000000027E-3</c:v>
                </c:pt>
                <c:pt idx="16">
                  <c:v>2.0000000000000015E-4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Sheet2!$E$23</c:f>
              <c:strCache>
                <c:ptCount val="1"/>
                <c:pt idx="0">
                  <c:v>深证民营</c:v>
                </c:pt>
              </c:strCache>
            </c:strRef>
          </c:tx>
          <c:spPr>
            <a:ln w="12700"/>
          </c:spPr>
          <c:marker>
            <c:symbol val="none"/>
          </c:marker>
          <c:val>
            <c:numRef>
              <c:f>Sheet2!$E$24:$E$40</c:f>
              <c:numCache>
                <c:formatCode>0.00%</c:formatCode>
                <c:ptCount val="17"/>
                <c:pt idx="0">
                  <c:v>4.1099999999999998E-2</c:v>
                </c:pt>
                <c:pt idx="1">
                  <c:v>1.1299999999999998E-2</c:v>
                </c:pt>
                <c:pt idx="2">
                  <c:v>4.0700000000000014E-2</c:v>
                </c:pt>
                <c:pt idx="3">
                  <c:v>5.3000000000000026E-3</c:v>
                </c:pt>
                <c:pt idx="4">
                  <c:v>-1.3500000000000007E-2</c:v>
                </c:pt>
                <c:pt idx="5">
                  <c:v>3.6200000000000024E-2</c:v>
                </c:pt>
                <c:pt idx="6">
                  <c:v>1.4200000000000001E-2</c:v>
                </c:pt>
                <c:pt idx="7">
                  <c:v>1.0000000000000007E-3</c:v>
                </c:pt>
                <c:pt idx="8">
                  <c:v>2.4500000000000001E-2</c:v>
                </c:pt>
                <c:pt idx="9">
                  <c:v>-6.2900000000000011E-2</c:v>
                </c:pt>
                <c:pt idx="10">
                  <c:v>3.9000000000000014E-2</c:v>
                </c:pt>
                <c:pt idx="11">
                  <c:v>2.5500000000000002E-2</c:v>
                </c:pt>
                <c:pt idx="12">
                  <c:v>7.2000000000000033E-3</c:v>
                </c:pt>
                <c:pt idx="13">
                  <c:v>9.3000000000000062E-3</c:v>
                </c:pt>
                <c:pt idx="14">
                  <c:v>-2.8199999999999989E-2</c:v>
                </c:pt>
                <c:pt idx="15">
                  <c:v>5.6000000000000025E-3</c:v>
                </c:pt>
                <c:pt idx="16">
                  <c:v>-1.9000000000000013E-3</c:v>
                </c:pt>
              </c:numCache>
            </c:numRef>
          </c:val>
          <c:smooth val="1"/>
        </c:ser>
        <c:marker val="1"/>
        <c:axId val="143307904"/>
        <c:axId val="143310208"/>
      </c:lineChart>
      <c:catAx>
        <c:axId val="143307904"/>
        <c:scaling>
          <c:orientation val="minMax"/>
        </c:scaling>
        <c:axPos val="b"/>
        <c:tickLblPos val="nextTo"/>
        <c:crossAx val="143310208"/>
        <c:crosses val="autoZero"/>
        <c:auto val="1"/>
        <c:lblAlgn val="ctr"/>
        <c:lblOffset val="100"/>
      </c:catAx>
      <c:valAx>
        <c:axId val="143310208"/>
        <c:scaling>
          <c:orientation val="minMax"/>
          <c:min val="-6.0000000000000032E-2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 sz="900"/>
            </a:pPr>
            <a:endParaRPr lang="zh-CN"/>
          </a:p>
        </c:txPr>
        <c:crossAx val="143307904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235</Words>
  <Characters>1345</Characters>
  <Application>Microsoft Office Word</Application>
  <DocSecurity>0</DocSecurity>
  <Lines>11</Lines>
  <Paragraphs>3</Paragraphs>
  <ScaleCrop>false</ScaleCrop>
  <Company>http://sdwm.org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34</cp:revision>
  <dcterms:created xsi:type="dcterms:W3CDTF">2015-09-06T09:00:00Z</dcterms:created>
  <dcterms:modified xsi:type="dcterms:W3CDTF">2015-11-02T09:47:00Z</dcterms:modified>
</cp:coreProperties>
</file>