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FE" w:rsidRDefault="00546CFE" w:rsidP="00546CFE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指数运行情况分析</w:t>
      </w:r>
    </w:p>
    <w:p w:rsidR="00546CFE" w:rsidRDefault="00546CFE" w:rsidP="00546CFE">
      <w:pPr>
        <w:pStyle w:val="1"/>
        <w:spacing w:before="200" w:after="200" w:line="360" w:lineRule="auto"/>
      </w:pPr>
      <w:bookmarkStart w:id="0" w:name="_Toc424829043"/>
      <w:r>
        <w:rPr>
          <w:rFonts w:hint="eastAsia"/>
        </w:rPr>
        <w:t>一</w:t>
      </w:r>
      <w:r>
        <w:rPr>
          <w:rFonts w:hint="eastAsia"/>
        </w:rPr>
        <w:t>.</w:t>
      </w:r>
      <w:r>
        <w:rPr>
          <w:rFonts w:hint="eastAsia"/>
        </w:rPr>
        <w:t>市场表现</w:t>
      </w:r>
      <w:bookmarkEnd w:id="0"/>
    </w:p>
    <w:p w:rsidR="000208C5" w:rsidRPr="00B96DBB" w:rsidRDefault="000208C5" w:rsidP="000208C5">
      <w:pPr>
        <w:spacing w:line="360" w:lineRule="auto"/>
        <w:ind w:firstLineChars="200" w:firstLine="420"/>
        <w:rPr>
          <w:rFonts w:asciiTheme="minorEastAsia" w:hAnsiTheme="minorEastAsia"/>
        </w:rPr>
      </w:pPr>
      <w:r w:rsidRPr="00B96DBB">
        <w:rPr>
          <w:rFonts w:asciiTheme="minorEastAsia" w:hAnsiTheme="minorEastAsia" w:hint="eastAsia"/>
        </w:rPr>
        <w:t>本月，SBL中国民企52指数开盘</w:t>
      </w:r>
      <w:r w:rsidR="00866A1E">
        <w:rPr>
          <w:rFonts w:asciiTheme="minorEastAsia" w:hAnsiTheme="minorEastAsia" w:hint="eastAsia"/>
        </w:rPr>
        <w:t>5</w:t>
      </w:r>
      <w:r w:rsidR="00FF6853">
        <w:rPr>
          <w:rFonts w:asciiTheme="minorEastAsia" w:hAnsiTheme="minorEastAsia" w:hint="eastAsia"/>
        </w:rPr>
        <w:t>70.92</w:t>
      </w:r>
      <w:r w:rsidRPr="00B96DBB">
        <w:rPr>
          <w:rFonts w:asciiTheme="minorEastAsia" w:hAnsiTheme="minorEastAsia" w:hint="eastAsia"/>
        </w:rPr>
        <w:t>点，最高</w:t>
      </w:r>
      <w:r w:rsidR="00866A1E">
        <w:rPr>
          <w:rFonts w:asciiTheme="minorEastAsia" w:hAnsiTheme="minorEastAsia" w:hint="eastAsia"/>
        </w:rPr>
        <w:t>5</w:t>
      </w:r>
      <w:r w:rsidR="0013650D">
        <w:rPr>
          <w:rFonts w:asciiTheme="minorEastAsia" w:hAnsiTheme="minorEastAsia" w:hint="eastAsia"/>
        </w:rPr>
        <w:t>8</w:t>
      </w:r>
      <w:r w:rsidR="00FF6853">
        <w:rPr>
          <w:rFonts w:asciiTheme="minorEastAsia" w:hAnsiTheme="minorEastAsia" w:hint="eastAsia"/>
        </w:rPr>
        <w:t>3.30</w:t>
      </w:r>
      <w:r w:rsidRPr="00B96DBB">
        <w:rPr>
          <w:rFonts w:asciiTheme="minorEastAsia" w:hAnsiTheme="minorEastAsia" w:hint="eastAsia"/>
        </w:rPr>
        <w:t>点，收盘</w:t>
      </w:r>
      <w:r w:rsidR="00866A1E">
        <w:rPr>
          <w:rFonts w:asciiTheme="minorEastAsia" w:hAnsiTheme="minorEastAsia" w:hint="eastAsia"/>
        </w:rPr>
        <w:t>5</w:t>
      </w:r>
      <w:r w:rsidR="00FF6853">
        <w:rPr>
          <w:rFonts w:asciiTheme="minorEastAsia" w:hAnsiTheme="minorEastAsia" w:hint="eastAsia"/>
        </w:rPr>
        <w:t>62.53</w:t>
      </w:r>
      <w:r w:rsidRPr="00B96DBB">
        <w:rPr>
          <w:rFonts w:asciiTheme="minorEastAsia" w:hAnsiTheme="minorEastAsia" w:hint="eastAsia"/>
        </w:rPr>
        <w:t>点，</w:t>
      </w:r>
      <w:r w:rsidR="00FF6853">
        <w:rPr>
          <w:rFonts w:asciiTheme="minorEastAsia" w:hAnsiTheme="minorEastAsia" w:hint="eastAsia"/>
        </w:rPr>
        <w:t>下跌8.37</w:t>
      </w:r>
      <w:r w:rsidRPr="00B96DBB">
        <w:rPr>
          <w:rFonts w:asciiTheme="minorEastAsia" w:hAnsiTheme="minorEastAsia" w:hint="eastAsia"/>
        </w:rPr>
        <w:t>点，</w:t>
      </w:r>
      <w:r w:rsidR="00FF6853">
        <w:rPr>
          <w:rFonts w:asciiTheme="minorEastAsia" w:hAnsiTheme="minorEastAsia" w:hint="eastAsia"/>
        </w:rPr>
        <w:t>跌幅为1.47</w:t>
      </w:r>
      <w:r w:rsidR="00866A1E">
        <w:rPr>
          <w:rFonts w:asciiTheme="minorEastAsia" w:hAnsiTheme="minorEastAsia" w:hint="eastAsia"/>
        </w:rPr>
        <w:t>%</w:t>
      </w:r>
      <w:r w:rsidRPr="00B96DBB">
        <w:rPr>
          <w:rFonts w:asciiTheme="minorEastAsia" w:hAnsiTheme="minorEastAsia" w:hint="eastAsia"/>
        </w:rPr>
        <w:t>。</w:t>
      </w:r>
    </w:p>
    <w:p w:rsidR="000208C5" w:rsidRDefault="000208C5" w:rsidP="000208C5">
      <w:pPr>
        <w:spacing w:line="360" w:lineRule="auto"/>
        <w:ind w:firstLineChars="200" w:firstLine="420"/>
        <w:rPr>
          <w:rFonts w:asciiTheme="minorEastAsia" w:hAnsiTheme="minorEastAsia"/>
        </w:rPr>
      </w:pPr>
      <w:r w:rsidRPr="00B96DBB">
        <w:rPr>
          <w:rFonts w:asciiTheme="minorEastAsia" w:hAnsiTheme="minorEastAsia" w:hint="eastAsia"/>
        </w:rPr>
        <w:t>同期，上证综指</w:t>
      </w:r>
      <w:r w:rsidR="00FF6853">
        <w:rPr>
          <w:rFonts w:asciiTheme="minorEastAsia" w:hAnsiTheme="minorEastAsia" w:hint="eastAsia"/>
        </w:rPr>
        <w:t>下跌1.91</w:t>
      </w:r>
      <w:r w:rsidRPr="00B96DBB">
        <w:rPr>
          <w:rFonts w:asciiTheme="minorEastAsia" w:hAnsiTheme="minorEastAsia" w:hint="eastAsia"/>
        </w:rPr>
        <w:t>%，深证成指</w:t>
      </w:r>
      <w:r w:rsidR="00FF6853">
        <w:rPr>
          <w:rFonts w:asciiTheme="minorEastAsia" w:hAnsiTheme="minorEastAsia" w:hint="eastAsia"/>
        </w:rPr>
        <w:t>下跌0.96</w:t>
      </w:r>
      <w:r w:rsidRPr="00B96DBB">
        <w:rPr>
          <w:rFonts w:asciiTheme="minorEastAsia" w:hAnsiTheme="minorEastAsia" w:hint="eastAsia"/>
        </w:rPr>
        <w:t>%，</w:t>
      </w:r>
      <w:r w:rsidR="0013650D" w:rsidRPr="00B96DBB">
        <w:rPr>
          <w:rFonts w:asciiTheme="minorEastAsia" w:hAnsiTheme="minorEastAsia" w:hint="eastAsia"/>
        </w:rPr>
        <w:t>中证民企200指数</w:t>
      </w:r>
      <w:r w:rsidR="00FF6853">
        <w:rPr>
          <w:rFonts w:asciiTheme="minorEastAsia" w:hAnsiTheme="minorEastAsia" w:hint="eastAsia"/>
        </w:rPr>
        <w:t>下跌1.16</w:t>
      </w:r>
      <w:r w:rsidR="0013650D" w:rsidRPr="00B96DBB">
        <w:rPr>
          <w:rFonts w:asciiTheme="minorEastAsia" w:hAnsiTheme="minorEastAsia" w:hint="eastAsia"/>
        </w:rPr>
        <w:t>%，深证民营指数</w:t>
      </w:r>
      <w:r w:rsidR="00FF6853">
        <w:rPr>
          <w:rFonts w:asciiTheme="minorEastAsia" w:hAnsiTheme="minorEastAsia" w:hint="eastAsia"/>
        </w:rPr>
        <w:t>下跌1.89</w:t>
      </w:r>
      <w:r w:rsidR="0013650D">
        <w:rPr>
          <w:rFonts w:asciiTheme="minorEastAsia" w:hAnsiTheme="minorEastAsia" w:hint="eastAsia"/>
        </w:rPr>
        <w:t>%，</w:t>
      </w:r>
      <w:r w:rsidRPr="00B96DBB">
        <w:rPr>
          <w:rFonts w:asciiTheme="minorEastAsia" w:hAnsiTheme="minorEastAsia" w:hint="eastAsia"/>
        </w:rPr>
        <w:t>沪深300</w:t>
      </w:r>
      <w:r w:rsidR="00FF6853">
        <w:rPr>
          <w:rFonts w:asciiTheme="minorEastAsia" w:hAnsiTheme="minorEastAsia" w:hint="eastAsia"/>
        </w:rPr>
        <w:t>下跌1.46</w:t>
      </w:r>
      <w:r w:rsidRPr="00B96DBB">
        <w:rPr>
          <w:rFonts w:asciiTheme="minorEastAsia" w:hAnsiTheme="minorEastAsia" w:hint="eastAsia"/>
        </w:rPr>
        <w:t>%。</w:t>
      </w:r>
    </w:p>
    <w:p w:rsidR="00546CFE" w:rsidRDefault="00546CFE" w:rsidP="00FF6853">
      <w:pPr>
        <w:spacing w:beforeLines="50"/>
        <w:ind w:firstLineChars="200" w:firstLine="422"/>
        <w:jc w:val="center"/>
        <w:rPr>
          <w:b/>
        </w:rPr>
      </w:pPr>
      <w:r w:rsidRPr="003E537E">
        <w:rPr>
          <w:rFonts w:hint="eastAsia"/>
          <w:b/>
        </w:rPr>
        <w:t>图表</w:t>
      </w:r>
      <w:r w:rsidR="00CD1B68">
        <w:rPr>
          <w:rFonts w:hint="eastAsia"/>
          <w:b/>
        </w:rPr>
        <w:t>1</w:t>
      </w:r>
      <w:r w:rsidRPr="003E537E">
        <w:rPr>
          <w:rFonts w:hint="eastAsia"/>
          <w:b/>
        </w:rPr>
        <w:t>：</w:t>
      </w:r>
      <w:r w:rsidR="003E537E" w:rsidRPr="003E537E">
        <w:rPr>
          <w:rFonts w:hint="eastAsia"/>
          <w:b/>
        </w:rPr>
        <w:t>SBL</w:t>
      </w:r>
      <w:r w:rsidR="003E537E" w:rsidRPr="003E537E">
        <w:rPr>
          <w:rFonts w:hint="eastAsia"/>
          <w:b/>
        </w:rPr>
        <w:t>中国民企</w:t>
      </w:r>
      <w:r w:rsidR="003E537E" w:rsidRPr="003E537E">
        <w:rPr>
          <w:rFonts w:hint="eastAsia"/>
          <w:b/>
        </w:rPr>
        <w:t>52</w:t>
      </w:r>
      <w:r w:rsidR="003E537E" w:rsidRPr="003E537E">
        <w:rPr>
          <w:rFonts w:hint="eastAsia"/>
          <w:b/>
        </w:rPr>
        <w:t>指数与</w:t>
      </w:r>
      <w:r w:rsidRPr="003E537E">
        <w:rPr>
          <w:rFonts w:hint="eastAsia"/>
          <w:b/>
        </w:rPr>
        <w:t>主要指数表现对比</w:t>
      </w:r>
    </w:p>
    <w:p w:rsidR="003E537E" w:rsidRDefault="00FF6853" w:rsidP="00FF6853">
      <w:pPr>
        <w:spacing w:beforeLines="50"/>
        <w:ind w:firstLineChars="200" w:firstLine="422"/>
        <w:jc w:val="center"/>
        <w:rPr>
          <w:b/>
        </w:rPr>
      </w:pPr>
      <w:r w:rsidRPr="00FF6853">
        <w:rPr>
          <w:b/>
        </w:rPr>
        <w:drawing>
          <wp:inline distT="0" distB="0" distL="0" distR="0">
            <wp:extent cx="4572000" cy="2743200"/>
            <wp:effectExtent l="19050" t="0" r="1905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E537E" w:rsidRDefault="003E537E" w:rsidP="00FF6853">
      <w:pPr>
        <w:spacing w:beforeLines="50"/>
        <w:ind w:firstLineChars="200" w:firstLine="422"/>
        <w:jc w:val="center"/>
        <w:rPr>
          <w:b/>
        </w:rPr>
      </w:pPr>
      <w:r w:rsidRPr="003E537E">
        <w:rPr>
          <w:rFonts w:hint="eastAsia"/>
          <w:b/>
        </w:rPr>
        <w:t>图表</w:t>
      </w:r>
      <w:r w:rsidR="00CD1B68">
        <w:rPr>
          <w:rFonts w:hint="eastAsia"/>
          <w:b/>
        </w:rPr>
        <w:t>2</w:t>
      </w:r>
      <w:r w:rsidRPr="003E537E">
        <w:rPr>
          <w:rFonts w:hint="eastAsia"/>
          <w:b/>
        </w:rPr>
        <w:t>：</w:t>
      </w:r>
      <w:r w:rsidRPr="003E537E">
        <w:rPr>
          <w:rFonts w:hint="eastAsia"/>
          <w:b/>
        </w:rPr>
        <w:t>SBL</w:t>
      </w:r>
      <w:r w:rsidRPr="003E537E">
        <w:rPr>
          <w:rFonts w:hint="eastAsia"/>
          <w:b/>
        </w:rPr>
        <w:t>中国民企</w:t>
      </w:r>
      <w:r w:rsidRPr="003E537E">
        <w:rPr>
          <w:rFonts w:hint="eastAsia"/>
          <w:b/>
        </w:rPr>
        <w:t>52</w:t>
      </w:r>
      <w:r w:rsidRPr="003E537E">
        <w:rPr>
          <w:rFonts w:hint="eastAsia"/>
          <w:b/>
        </w:rPr>
        <w:t>指数与</w:t>
      </w:r>
      <w:r>
        <w:rPr>
          <w:rFonts w:hint="eastAsia"/>
          <w:b/>
        </w:rPr>
        <w:t>同类</w:t>
      </w:r>
      <w:r w:rsidRPr="003E537E">
        <w:rPr>
          <w:rFonts w:hint="eastAsia"/>
          <w:b/>
        </w:rPr>
        <w:t>指数表现对比</w:t>
      </w:r>
    </w:p>
    <w:p w:rsidR="00546CFE" w:rsidRDefault="00FF6853" w:rsidP="00FF6853">
      <w:pPr>
        <w:spacing w:beforeLines="50"/>
        <w:ind w:firstLineChars="200" w:firstLine="422"/>
        <w:jc w:val="center"/>
        <w:rPr>
          <w:b/>
        </w:rPr>
      </w:pPr>
      <w:r w:rsidRPr="00FF6853">
        <w:rPr>
          <w:b/>
        </w:rPr>
        <w:drawing>
          <wp:inline distT="0" distB="0" distL="0" distR="0">
            <wp:extent cx="4572000" cy="2743200"/>
            <wp:effectExtent l="19050" t="0" r="1905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6CFE" w:rsidRDefault="00546CFE" w:rsidP="00546CFE">
      <w:pPr>
        <w:pStyle w:val="1"/>
        <w:spacing w:before="200" w:after="200" w:line="360" w:lineRule="auto"/>
      </w:pPr>
      <w:bookmarkStart w:id="1" w:name="_Toc424829044"/>
      <w:r>
        <w:rPr>
          <w:rFonts w:hint="eastAsia"/>
        </w:rPr>
        <w:lastRenderedPageBreak/>
        <w:t>二</w:t>
      </w:r>
      <w:r>
        <w:rPr>
          <w:rFonts w:hint="eastAsia"/>
        </w:rPr>
        <w:t>.</w:t>
      </w:r>
      <w:r>
        <w:rPr>
          <w:rFonts w:hint="eastAsia"/>
        </w:rPr>
        <w:t>行业与公司权重</w:t>
      </w:r>
      <w:bookmarkEnd w:id="1"/>
    </w:p>
    <w:p w:rsidR="005B5947" w:rsidRDefault="00546CFE" w:rsidP="00FF6853">
      <w:pPr>
        <w:spacing w:afterLines="50"/>
        <w:ind w:firstLineChars="200" w:firstLine="420"/>
      </w:pPr>
      <w:r>
        <w:rPr>
          <w:rFonts w:hint="eastAsia"/>
        </w:rPr>
        <w:t>按照证监会行业分类，</w:t>
      </w:r>
      <w:r w:rsidR="002B04CB" w:rsidRPr="00CD1B68">
        <w:rPr>
          <w:rFonts w:asciiTheme="minorEastAsia" w:hAnsiTheme="minorEastAsia" w:hint="eastAsia"/>
        </w:rPr>
        <w:t xml:space="preserve"> </w:t>
      </w:r>
      <w:r w:rsidRPr="00CD1B68">
        <w:rPr>
          <w:rFonts w:asciiTheme="minorEastAsia" w:hAnsiTheme="minorEastAsia" w:hint="eastAsia"/>
        </w:rPr>
        <w:t>SBL52中国</w:t>
      </w:r>
      <w:r w:rsidRPr="00970916">
        <w:rPr>
          <w:rFonts w:hint="eastAsia"/>
        </w:rPr>
        <w:t>民企指数成分股</w:t>
      </w:r>
      <w:r>
        <w:rPr>
          <w:rFonts w:hint="eastAsia"/>
        </w:rPr>
        <w:t>中</w:t>
      </w:r>
      <w:r w:rsidR="00CD1B68">
        <w:rPr>
          <w:rFonts w:hint="eastAsia"/>
        </w:rPr>
        <w:t>行业分布为</w:t>
      </w:r>
      <w:r w:rsidR="00A60779">
        <w:rPr>
          <w:rFonts w:hint="eastAsia"/>
        </w:rPr>
        <w:t>如下</w:t>
      </w:r>
      <w:r w:rsidR="00CD1B68">
        <w:rPr>
          <w:rFonts w:hint="eastAsia"/>
        </w:rPr>
        <w:t>：</w:t>
      </w:r>
    </w:p>
    <w:p w:rsidR="002B04CB" w:rsidRDefault="00546CFE" w:rsidP="00FF6853">
      <w:pPr>
        <w:spacing w:afterLines="50"/>
        <w:ind w:firstLineChars="200" w:firstLine="420"/>
      </w:pPr>
      <w:r>
        <w:rPr>
          <w:rFonts w:hint="eastAsia"/>
        </w:rPr>
        <w:t>制造业</w:t>
      </w:r>
      <w:r w:rsidR="00F52CC7">
        <w:rPr>
          <w:rFonts w:hint="eastAsia"/>
        </w:rPr>
        <w:t>39</w:t>
      </w:r>
      <w:r>
        <w:rPr>
          <w:rFonts w:hint="eastAsia"/>
        </w:rPr>
        <w:t>支，</w:t>
      </w:r>
      <w:r w:rsidRPr="00970916">
        <w:rPr>
          <w:rFonts w:hint="eastAsia"/>
        </w:rPr>
        <w:t>房地产与建筑业</w:t>
      </w:r>
      <w:r w:rsidR="00A60779">
        <w:rPr>
          <w:rFonts w:hint="eastAsia"/>
        </w:rPr>
        <w:t>2</w:t>
      </w:r>
      <w:r>
        <w:rPr>
          <w:rFonts w:hint="eastAsia"/>
        </w:rPr>
        <w:t>支，金融业</w:t>
      </w:r>
      <w:r w:rsidR="00F52CC7">
        <w:rPr>
          <w:rFonts w:hint="eastAsia"/>
        </w:rPr>
        <w:t>1</w:t>
      </w:r>
      <w:r>
        <w:rPr>
          <w:rFonts w:hint="eastAsia"/>
        </w:rPr>
        <w:t>支，</w:t>
      </w:r>
      <w:r w:rsidR="00A60779">
        <w:rPr>
          <w:rFonts w:hint="eastAsia"/>
        </w:rPr>
        <w:t>旅游业</w:t>
      </w:r>
      <w:r w:rsidR="00A60779">
        <w:rPr>
          <w:rFonts w:hint="eastAsia"/>
        </w:rPr>
        <w:t>1</w:t>
      </w:r>
      <w:r w:rsidR="00A60779">
        <w:rPr>
          <w:rFonts w:hint="eastAsia"/>
        </w:rPr>
        <w:t>支，</w:t>
      </w:r>
      <w:r>
        <w:rPr>
          <w:rFonts w:hint="eastAsia"/>
        </w:rPr>
        <w:t>批发零售业</w:t>
      </w:r>
      <w:r>
        <w:rPr>
          <w:rFonts w:hint="eastAsia"/>
        </w:rPr>
        <w:t>1</w:t>
      </w:r>
      <w:r>
        <w:rPr>
          <w:rFonts w:hint="eastAsia"/>
        </w:rPr>
        <w:t>支，信息技术业</w:t>
      </w:r>
      <w:r w:rsidR="00F52CC7">
        <w:rPr>
          <w:rFonts w:hint="eastAsia"/>
        </w:rPr>
        <w:t>7</w:t>
      </w:r>
      <w:r>
        <w:rPr>
          <w:rFonts w:hint="eastAsia"/>
        </w:rPr>
        <w:t>支，公用事业</w:t>
      </w:r>
      <w:r>
        <w:rPr>
          <w:rFonts w:hint="eastAsia"/>
        </w:rPr>
        <w:t>1</w:t>
      </w:r>
      <w:r>
        <w:rPr>
          <w:rFonts w:hint="eastAsia"/>
        </w:rPr>
        <w:t>支，</w:t>
      </w:r>
      <w:r w:rsidR="002B04CB">
        <w:rPr>
          <w:rFonts w:hint="eastAsia"/>
        </w:rPr>
        <w:t>。</w:t>
      </w:r>
    </w:p>
    <w:p w:rsidR="00546CFE" w:rsidRDefault="002B04CB" w:rsidP="00FF6853">
      <w:pPr>
        <w:spacing w:afterLines="50"/>
        <w:ind w:firstLineChars="200" w:firstLine="420"/>
      </w:pPr>
      <w:r>
        <w:rPr>
          <w:rFonts w:hint="eastAsia"/>
        </w:rPr>
        <w:t>本月</w:t>
      </w:r>
      <w:r w:rsidRPr="00CD1B68">
        <w:rPr>
          <w:rFonts w:asciiTheme="minorEastAsia" w:hAnsiTheme="minorEastAsia" w:hint="eastAsia"/>
        </w:rPr>
        <w:t>SBL52中国</w:t>
      </w:r>
      <w:r w:rsidRPr="00970916">
        <w:rPr>
          <w:rFonts w:hint="eastAsia"/>
        </w:rPr>
        <w:t>民企指数成分股</w:t>
      </w:r>
      <w:r>
        <w:rPr>
          <w:rFonts w:hint="eastAsia"/>
        </w:rPr>
        <w:t>行业和</w:t>
      </w:r>
      <w:r w:rsidR="00A60779">
        <w:rPr>
          <w:rFonts w:hint="eastAsia"/>
        </w:rPr>
        <w:t>市值占</w:t>
      </w:r>
      <w:r w:rsidR="00CE388E">
        <w:rPr>
          <w:rFonts w:hint="eastAsia"/>
        </w:rPr>
        <w:t>比</w:t>
      </w:r>
      <w:r>
        <w:rPr>
          <w:rFonts w:hint="eastAsia"/>
        </w:rPr>
        <w:t>如下：</w:t>
      </w:r>
    </w:p>
    <w:p w:rsidR="002B04CB" w:rsidRDefault="002B04CB" w:rsidP="00FF6853">
      <w:pPr>
        <w:spacing w:beforeLines="50"/>
        <w:ind w:firstLineChars="836" w:firstLine="1762"/>
        <w:rPr>
          <w:b/>
        </w:rPr>
      </w:pPr>
      <w:r w:rsidRPr="003E537E">
        <w:rPr>
          <w:rFonts w:hint="eastAsia"/>
          <w:b/>
        </w:rPr>
        <w:t>图表</w:t>
      </w:r>
      <w:r>
        <w:rPr>
          <w:rFonts w:hint="eastAsia"/>
          <w:b/>
        </w:rPr>
        <w:t>3</w:t>
      </w:r>
      <w:r w:rsidRPr="003E537E">
        <w:rPr>
          <w:rFonts w:hint="eastAsia"/>
          <w:b/>
        </w:rPr>
        <w:t>：</w:t>
      </w:r>
      <w:r w:rsidRPr="003E537E">
        <w:rPr>
          <w:rFonts w:hint="eastAsia"/>
          <w:b/>
        </w:rPr>
        <w:t>SBL</w:t>
      </w:r>
      <w:r w:rsidRPr="003E537E">
        <w:rPr>
          <w:rFonts w:hint="eastAsia"/>
          <w:b/>
        </w:rPr>
        <w:t>中国民企</w:t>
      </w:r>
      <w:r w:rsidRPr="003E537E">
        <w:rPr>
          <w:rFonts w:hint="eastAsia"/>
          <w:b/>
        </w:rPr>
        <w:t>52</w:t>
      </w:r>
      <w:r w:rsidRPr="003E537E">
        <w:rPr>
          <w:rFonts w:hint="eastAsia"/>
          <w:b/>
        </w:rPr>
        <w:t>指数</w:t>
      </w:r>
      <w:r>
        <w:rPr>
          <w:rFonts w:hint="eastAsia"/>
          <w:b/>
        </w:rPr>
        <w:t>成分股行业市值</w:t>
      </w:r>
    </w:p>
    <w:tbl>
      <w:tblPr>
        <w:tblW w:w="5560" w:type="dxa"/>
        <w:tblInd w:w="1390" w:type="dxa"/>
        <w:tblLook w:val="04A0"/>
      </w:tblPr>
      <w:tblGrid>
        <w:gridCol w:w="1860"/>
        <w:gridCol w:w="1780"/>
        <w:gridCol w:w="1920"/>
      </w:tblGrid>
      <w:tr w:rsidR="000208C5" w:rsidRPr="000208C5" w:rsidTr="000208C5">
        <w:trPr>
          <w:trHeight w:val="27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8C5" w:rsidRPr="000208C5" w:rsidRDefault="000208C5" w:rsidP="000208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8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行业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8C5" w:rsidRPr="000208C5" w:rsidRDefault="000208C5" w:rsidP="000208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8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市值(亿元)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8C5" w:rsidRPr="000208C5" w:rsidRDefault="000208C5" w:rsidP="000208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8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占比</w:t>
            </w:r>
          </w:p>
        </w:tc>
      </w:tr>
      <w:tr w:rsidR="006F005A" w:rsidRPr="000208C5" w:rsidTr="000208C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0208C5" w:rsidRDefault="006F005A" w:rsidP="000208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8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批发零售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6F005A" w:rsidRDefault="006F005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F005A">
              <w:rPr>
                <w:rFonts w:ascii="Times New Roman" w:hAnsi="Times New Roman" w:cs="Times New Roman"/>
                <w:color w:val="000000"/>
                <w:sz w:val="22"/>
              </w:rPr>
              <w:t xml:space="preserve">845.35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6F005A" w:rsidRDefault="006F005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F005A">
              <w:rPr>
                <w:rFonts w:ascii="Times New Roman" w:hAnsi="Times New Roman" w:cs="Times New Roman"/>
                <w:color w:val="000000"/>
                <w:sz w:val="22"/>
              </w:rPr>
              <w:t>3.76%</w:t>
            </w:r>
          </w:p>
        </w:tc>
      </w:tr>
      <w:tr w:rsidR="006F005A" w:rsidRPr="000208C5" w:rsidTr="000208C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0208C5" w:rsidRDefault="006F005A" w:rsidP="000208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8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6F005A" w:rsidRDefault="006F005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F005A">
              <w:rPr>
                <w:rFonts w:ascii="Times New Roman" w:hAnsi="Times New Roman" w:cs="Times New Roman"/>
                <w:color w:val="000000"/>
                <w:sz w:val="22"/>
              </w:rPr>
              <w:t xml:space="preserve">417.71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6F005A" w:rsidRDefault="006F005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F005A">
              <w:rPr>
                <w:rFonts w:ascii="Times New Roman" w:hAnsi="Times New Roman" w:cs="Times New Roman"/>
                <w:color w:val="000000"/>
                <w:sz w:val="22"/>
              </w:rPr>
              <w:t>1.86%</w:t>
            </w:r>
          </w:p>
        </w:tc>
      </w:tr>
      <w:tr w:rsidR="006F005A" w:rsidRPr="000208C5" w:rsidTr="000208C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0208C5" w:rsidRDefault="006F005A" w:rsidP="000208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8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6F005A" w:rsidRDefault="006F005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F005A">
              <w:rPr>
                <w:rFonts w:ascii="Times New Roman" w:hAnsi="Times New Roman" w:cs="Times New Roman"/>
                <w:color w:val="000000"/>
                <w:sz w:val="22"/>
              </w:rPr>
              <w:t xml:space="preserve">1619.09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6F005A" w:rsidRDefault="006F005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F005A">
              <w:rPr>
                <w:rFonts w:ascii="Times New Roman" w:hAnsi="Times New Roman" w:cs="Times New Roman"/>
                <w:color w:val="000000"/>
                <w:sz w:val="22"/>
              </w:rPr>
              <w:t>7.20%</w:t>
            </w:r>
          </w:p>
        </w:tc>
      </w:tr>
      <w:tr w:rsidR="006F005A" w:rsidRPr="000208C5" w:rsidTr="000208C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0208C5" w:rsidRDefault="006F005A" w:rsidP="000208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8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6F005A" w:rsidRDefault="006F005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F005A">
              <w:rPr>
                <w:rFonts w:ascii="Times New Roman" w:hAnsi="Times New Roman" w:cs="Times New Roman"/>
                <w:color w:val="000000"/>
                <w:sz w:val="22"/>
              </w:rPr>
              <w:t xml:space="preserve">479.19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6F005A" w:rsidRDefault="006F005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F005A">
              <w:rPr>
                <w:rFonts w:ascii="Times New Roman" w:hAnsi="Times New Roman" w:cs="Times New Roman"/>
                <w:color w:val="000000"/>
                <w:sz w:val="22"/>
              </w:rPr>
              <w:t>2.13%</w:t>
            </w:r>
          </w:p>
        </w:tc>
      </w:tr>
      <w:tr w:rsidR="006F005A" w:rsidRPr="000208C5" w:rsidTr="000208C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0208C5" w:rsidRDefault="006F005A" w:rsidP="000208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8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制造业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6F005A" w:rsidRDefault="006F005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F005A">
              <w:rPr>
                <w:rFonts w:ascii="Times New Roman" w:hAnsi="Times New Roman" w:cs="Times New Roman"/>
                <w:color w:val="000000"/>
                <w:sz w:val="22"/>
              </w:rPr>
              <w:t xml:space="preserve">10341.78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6F005A" w:rsidRDefault="006F005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F005A">
              <w:rPr>
                <w:rFonts w:ascii="Times New Roman" w:hAnsi="Times New Roman" w:cs="Times New Roman"/>
                <w:color w:val="000000"/>
                <w:sz w:val="22"/>
              </w:rPr>
              <w:t>45.97%</w:t>
            </w:r>
          </w:p>
        </w:tc>
      </w:tr>
      <w:tr w:rsidR="006F005A" w:rsidRPr="000208C5" w:rsidTr="000208C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0208C5" w:rsidRDefault="006F005A" w:rsidP="000208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8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6F005A" w:rsidRDefault="006F005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F005A">
              <w:rPr>
                <w:rFonts w:ascii="Times New Roman" w:hAnsi="Times New Roman" w:cs="Times New Roman"/>
                <w:color w:val="000000"/>
                <w:sz w:val="22"/>
              </w:rPr>
              <w:t xml:space="preserve">5814.87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6F005A" w:rsidRDefault="006F005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F005A">
              <w:rPr>
                <w:rFonts w:ascii="Times New Roman" w:hAnsi="Times New Roman" w:cs="Times New Roman"/>
                <w:color w:val="000000"/>
                <w:sz w:val="22"/>
              </w:rPr>
              <w:t>25.85%</w:t>
            </w:r>
          </w:p>
        </w:tc>
      </w:tr>
      <w:tr w:rsidR="006F005A" w:rsidRPr="000208C5" w:rsidTr="000208C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0208C5" w:rsidRDefault="006F005A" w:rsidP="000208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08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6F005A" w:rsidRDefault="006F005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F005A">
              <w:rPr>
                <w:rFonts w:ascii="Times New Roman" w:hAnsi="Times New Roman" w:cs="Times New Roman"/>
                <w:color w:val="000000"/>
                <w:sz w:val="22"/>
              </w:rPr>
              <w:t xml:space="preserve">2977.14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5A" w:rsidRPr="006F005A" w:rsidRDefault="006F005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F005A">
              <w:rPr>
                <w:rFonts w:ascii="Times New Roman" w:hAnsi="Times New Roman" w:cs="Times New Roman"/>
                <w:color w:val="000000"/>
                <w:sz w:val="22"/>
              </w:rPr>
              <w:t>13.23%</w:t>
            </w:r>
          </w:p>
        </w:tc>
      </w:tr>
    </w:tbl>
    <w:p w:rsidR="00F52CC7" w:rsidRPr="00302A81" w:rsidRDefault="00F52CC7" w:rsidP="00FF6853">
      <w:pPr>
        <w:spacing w:beforeLines="50"/>
        <w:rPr>
          <w:b/>
        </w:rPr>
      </w:pPr>
    </w:p>
    <w:p w:rsidR="0024078C" w:rsidRPr="00302A81" w:rsidRDefault="0024078C" w:rsidP="00FF6853">
      <w:pPr>
        <w:spacing w:beforeLines="50"/>
        <w:ind w:firstLineChars="200" w:firstLine="422"/>
        <w:jc w:val="center"/>
        <w:rPr>
          <w:b/>
        </w:rPr>
      </w:pPr>
      <w:r w:rsidRPr="003E537E">
        <w:rPr>
          <w:rFonts w:hint="eastAsia"/>
          <w:b/>
        </w:rPr>
        <w:t>图表</w:t>
      </w:r>
      <w:r w:rsidR="002B04CB">
        <w:rPr>
          <w:rFonts w:hint="eastAsia"/>
          <w:b/>
        </w:rPr>
        <w:t>4</w:t>
      </w:r>
      <w:r w:rsidRPr="003E537E">
        <w:rPr>
          <w:rFonts w:hint="eastAsia"/>
          <w:b/>
        </w:rPr>
        <w:t>：</w:t>
      </w:r>
      <w:r w:rsidRPr="003E537E">
        <w:rPr>
          <w:rFonts w:hint="eastAsia"/>
          <w:b/>
        </w:rPr>
        <w:t>SBL</w:t>
      </w:r>
      <w:r w:rsidRPr="003E537E">
        <w:rPr>
          <w:rFonts w:hint="eastAsia"/>
          <w:b/>
        </w:rPr>
        <w:t>中国民企</w:t>
      </w:r>
      <w:r w:rsidR="00147A68">
        <w:rPr>
          <w:rFonts w:hint="eastAsia"/>
          <w:b/>
        </w:rPr>
        <w:t>成分股行业</w:t>
      </w:r>
      <w:r w:rsidR="00F73E9F">
        <w:rPr>
          <w:rFonts w:hint="eastAsia"/>
          <w:b/>
        </w:rPr>
        <w:t>市值</w:t>
      </w:r>
      <w:r w:rsidR="00147A68">
        <w:rPr>
          <w:rFonts w:hint="eastAsia"/>
          <w:b/>
        </w:rPr>
        <w:t>占比</w:t>
      </w:r>
    </w:p>
    <w:p w:rsidR="0024078C" w:rsidRDefault="000208C5" w:rsidP="00FF6853">
      <w:pPr>
        <w:spacing w:beforeLines="50"/>
        <w:ind w:firstLineChars="200" w:firstLine="422"/>
        <w:jc w:val="center"/>
        <w:rPr>
          <w:b/>
        </w:rPr>
      </w:pPr>
      <w:r w:rsidRPr="000208C5">
        <w:rPr>
          <w:b/>
          <w:noProof/>
        </w:rPr>
        <w:drawing>
          <wp:inline distT="0" distB="0" distL="0" distR="0">
            <wp:extent cx="4819650" cy="3295650"/>
            <wp:effectExtent l="19050" t="0" r="19050" b="0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078C" w:rsidRDefault="004E2255" w:rsidP="00FF6853">
      <w:pPr>
        <w:spacing w:beforeLines="50"/>
        <w:ind w:firstLineChars="200" w:firstLine="420"/>
      </w:pPr>
      <w:bookmarkStart w:id="2" w:name="_Toc424829045"/>
      <w:r>
        <w:rPr>
          <w:rFonts w:hint="eastAsia"/>
        </w:rPr>
        <w:t>截止</w:t>
      </w:r>
      <w:r w:rsidR="0024078C">
        <w:rPr>
          <w:rFonts w:hint="eastAsia"/>
        </w:rPr>
        <w:t>本月收盘，</w:t>
      </w:r>
      <w:r w:rsidR="0024078C" w:rsidRPr="00CD1B68">
        <w:rPr>
          <w:rFonts w:asciiTheme="minorEastAsia" w:hAnsiTheme="minorEastAsia" w:hint="eastAsia"/>
        </w:rPr>
        <w:t>SBL52</w:t>
      </w:r>
      <w:r w:rsidR="0024078C" w:rsidRPr="00970916">
        <w:rPr>
          <w:rFonts w:hint="eastAsia"/>
        </w:rPr>
        <w:t>中国民企成分股</w:t>
      </w:r>
      <w:r w:rsidR="001F3172">
        <w:rPr>
          <w:rFonts w:hint="eastAsia"/>
        </w:rPr>
        <w:t>中前五大市值上市</w:t>
      </w:r>
      <w:r w:rsidR="0024078C">
        <w:rPr>
          <w:rFonts w:hint="eastAsia"/>
        </w:rPr>
        <w:t>公司为：</w:t>
      </w:r>
      <w:r w:rsidR="0024078C" w:rsidRPr="0024078C">
        <w:rPr>
          <w:rFonts w:hint="eastAsia"/>
        </w:rPr>
        <w:t>中国平安、</w:t>
      </w:r>
      <w:r w:rsidR="00F52CC7">
        <w:rPr>
          <w:rFonts w:hint="eastAsia"/>
        </w:rPr>
        <w:t>美的集团、长城汽车</w:t>
      </w:r>
      <w:r w:rsidR="0013650D">
        <w:rPr>
          <w:rFonts w:hint="eastAsia"/>
        </w:rPr>
        <w:t>、苏宁云商、康得新</w:t>
      </w:r>
      <w:r w:rsidR="0024078C">
        <w:rPr>
          <w:rFonts w:hint="eastAsia"/>
        </w:rPr>
        <w:t>。</w:t>
      </w:r>
    </w:p>
    <w:p w:rsidR="00546CFE" w:rsidRPr="00C06E13" w:rsidRDefault="00546CFE" w:rsidP="00546CFE">
      <w:pPr>
        <w:pStyle w:val="1"/>
        <w:spacing w:before="200" w:after="200" w:line="360" w:lineRule="auto"/>
      </w:pPr>
      <w:r w:rsidRPr="00C06E13">
        <w:rPr>
          <w:rFonts w:hint="eastAsia"/>
        </w:rPr>
        <w:t>三</w:t>
      </w:r>
      <w:r w:rsidRPr="00C06E13">
        <w:rPr>
          <w:rFonts w:hint="eastAsia"/>
        </w:rPr>
        <w:t>.</w:t>
      </w:r>
      <w:r w:rsidRPr="00C06E13">
        <w:rPr>
          <w:rFonts w:hint="eastAsia"/>
        </w:rPr>
        <w:t>相关性分析</w:t>
      </w:r>
      <w:bookmarkEnd w:id="2"/>
    </w:p>
    <w:p w:rsidR="006A1789" w:rsidRDefault="00546CFE" w:rsidP="00E311D9">
      <w:pPr>
        <w:ind w:firstLineChars="200" w:firstLine="420"/>
        <w:rPr>
          <w:rFonts w:asciiTheme="minorEastAsia" w:hAnsiTheme="minorEastAsia"/>
        </w:rPr>
      </w:pPr>
      <w:r w:rsidRPr="009E6E4D">
        <w:rPr>
          <w:rFonts w:asciiTheme="minorEastAsia" w:hAnsiTheme="minorEastAsia" w:hint="eastAsia"/>
        </w:rPr>
        <w:t>将SBL52中国民企成指、上证指数、深证成指、沪深300、中证民企200、深证民营指数的日涨跌数据进行相关性分析，结果</w:t>
      </w:r>
      <w:r w:rsidR="00E311D9">
        <w:rPr>
          <w:rFonts w:asciiTheme="minorEastAsia" w:hAnsiTheme="minorEastAsia" w:hint="eastAsia"/>
        </w:rPr>
        <w:t>表明</w:t>
      </w:r>
      <w:r w:rsidR="00E75C87" w:rsidRPr="009E6E4D">
        <w:rPr>
          <w:rFonts w:asciiTheme="minorEastAsia" w:hAnsiTheme="minorEastAsia" w:hint="eastAsia"/>
        </w:rPr>
        <w:t>：</w:t>
      </w:r>
    </w:p>
    <w:p w:rsidR="0013650D" w:rsidRDefault="00E311D9" w:rsidP="00E311D9">
      <w:pPr>
        <w:ind w:firstLineChars="200" w:firstLine="420"/>
        <w:rPr>
          <w:rFonts w:asciiTheme="minorEastAsia" w:hAnsiTheme="minorEastAsia"/>
        </w:rPr>
      </w:pPr>
      <w:r w:rsidRPr="009E6E4D">
        <w:rPr>
          <w:rFonts w:asciiTheme="minorEastAsia" w:hAnsiTheme="minorEastAsia" w:hint="eastAsia"/>
        </w:rPr>
        <w:lastRenderedPageBreak/>
        <w:t>本月SBL52中国民企指数与</w:t>
      </w:r>
      <w:r w:rsidR="0013650D">
        <w:rPr>
          <w:rFonts w:asciiTheme="minorEastAsia" w:hAnsiTheme="minorEastAsia" w:hint="eastAsia"/>
        </w:rPr>
        <w:t>各大指数相关性都比较</w:t>
      </w:r>
      <w:r w:rsidRPr="009E6E4D">
        <w:rPr>
          <w:rFonts w:asciiTheme="minorEastAsia" w:hAnsiTheme="minorEastAsia" w:hint="eastAsia"/>
        </w:rPr>
        <w:t>高，</w:t>
      </w:r>
      <w:r w:rsidR="0013650D">
        <w:rPr>
          <w:rFonts w:asciiTheme="minorEastAsia" w:hAnsiTheme="minorEastAsia" w:hint="eastAsia"/>
        </w:rPr>
        <w:t>其中</w:t>
      </w:r>
      <w:r w:rsidRPr="009E6E4D">
        <w:rPr>
          <w:rFonts w:asciiTheme="minorEastAsia" w:hAnsiTheme="minorEastAsia" w:hint="eastAsia"/>
        </w:rPr>
        <w:t>与</w:t>
      </w:r>
      <w:r w:rsidR="00FF6853">
        <w:rPr>
          <w:rFonts w:asciiTheme="minorEastAsia" w:hAnsiTheme="minorEastAsia" w:hint="eastAsia"/>
        </w:rPr>
        <w:t>上证综指</w:t>
      </w:r>
      <w:r w:rsidR="0013650D">
        <w:rPr>
          <w:rFonts w:asciiTheme="minorEastAsia" w:hAnsiTheme="minorEastAsia" w:hint="eastAsia"/>
        </w:rPr>
        <w:t>的相关性最高，</w:t>
      </w:r>
      <w:r w:rsidR="00FF6853">
        <w:rPr>
          <w:rFonts w:asciiTheme="minorEastAsia" w:hAnsiTheme="minorEastAsia" w:hint="eastAsia"/>
        </w:rPr>
        <w:t>接近0.95</w:t>
      </w:r>
      <w:r w:rsidR="0013650D">
        <w:rPr>
          <w:rFonts w:asciiTheme="minorEastAsia" w:hAnsiTheme="minorEastAsia" w:hint="eastAsia"/>
        </w:rPr>
        <w:t>；</w:t>
      </w:r>
      <w:r w:rsidR="00FF6853">
        <w:rPr>
          <w:rFonts w:asciiTheme="minorEastAsia" w:hAnsiTheme="minorEastAsia" w:hint="eastAsia"/>
        </w:rPr>
        <w:t>与民企200、深圳民营、沪深300等指数的相关性也都超过了0.91；</w:t>
      </w:r>
      <w:r w:rsidR="0013650D">
        <w:rPr>
          <w:rFonts w:asciiTheme="minorEastAsia" w:hAnsiTheme="minorEastAsia" w:hint="eastAsia"/>
        </w:rPr>
        <w:t>与深圳</w:t>
      </w:r>
      <w:r w:rsidR="00FF6853">
        <w:rPr>
          <w:rFonts w:asciiTheme="minorEastAsia" w:hAnsiTheme="minorEastAsia" w:hint="eastAsia"/>
        </w:rPr>
        <w:t>成指</w:t>
      </w:r>
      <w:r w:rsidR="0013650D">
        <w:rPr>
          <w:rFonts w:asciiTheme="minorEastAsia" w:hAnsiTheme="minorEastAsia" w:hint="eastAsia"/>
        </w:rPr>
        <w:t>相关性最低，</w:t>
      </w:r>
      <w:r w:rsidR="00FF6853">
        <w:rPr>
          <w:rFonts w:asciiTheme="minorEastAsia" w:hAnsiTheme="minorEastAsia" w:hint="eastAsia"/>
        </w:rPr>
        <w:t>还不到0.9</w:t>
      </w:r>
      <w:r w:rsidR="0013650D">
        <w:rPr>
          <w:rFonts w:asciiTheme="minorEastAsia" w:hAnsiTheme="minorEastAsia" w:hint="eastAsia"/>
        </w:rPr>
        <w:t>。</w:t>
      </w:r>
    </w:p>
    <w:p w:rsidR="0024078C" w:rsidRPr="0024078C" w:rsidRDefault="0024078C" w:rsidP="00FF6853">
      <w:pPr>
        <w:spacing w:beforeLines="50"/>
        <w:ind w:firstLineChars="200" w:firstLine="422"/>
        <w:jc w:val="center"/>
        <w:rPr>
          <w:b/>
        </w:rPr>
      </w:pPr>
      <w:r w:rsidRPr="0024078C">
        <w:rPr>
          <w:rFonts w:hint="eastAsia"/>
          <w:b/>
        </w:rPr>
        <w:t>图表</w:t>
      </w:r>
      <w:r w:rsidR="00CD1B68">
        <w:rPr>
          <w:rFonts w:hint="eastAsia"/>
          <w:b/>
        </w:rPr>
        <w:t>5</w:t>
      </w:r>
      <w:r w:rsidRPr="0024078C">
        <w:rPr>
          <w:rFonts w:hint="eastAsia"/>
          <w:b/>
        </w:rPr>
        <w:t>：</w:t>
      </w:r>
      <w:r w:rsidRPr="0024078C">
        <w:rPr>
          <w:rFonts w:hint="eastAsia"/>
          <w:b/>
        </w:rPr>
        <w:t>SBL52</w:t>
      </w:r>
      <w:r w:rsidRPr="0024078C">
        <w:rPr>
          <w:rFonts w:hint="eastAsia"/>
          <w:b/>
        </w:rPr>
        <w:t>中国民企指数与其他指数相关性</w:t>
      </w:r>
    </w:p>
    <w:tbl>
      <w:tblPr>
        <w:tblW w:w="7720" w:type="dxa"/>
        <w:jc w:val="center"/>
        <w:tblInd w:w="103" w:type="dxa"/>
        <w:tblLook w:val="04A0"/>
      </w:tblPr>
      <w:tblGrid>
        <w:gridCol w:w="1388"/>
        <w:gridCol w:w="1174"/>
        <w:gridCol w:w="1178"/>
        <w:gridCol w:w="1200"/>
        <w:gridCol w:w="1540"/>
        <w:gridCol w:w="1240"/>
      </w:tblGrid>
      <w:tr w:rsidR="00E75C87" w:rsidRPr="00E75C87" w:rsidTr="0013650D">
        <w:trPr>
          <w:trHeight w:val="27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87" w:rsidRPr="00BC3450" w:rsidRDefault="00E75C87" w:rsidP="00E75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34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87" w:rsidRPr="00BC3450" w:rsidRDefault="00E75C87" w:rsidP="00E75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34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上证</w:t>
            </w:r>
            <w:r w:rsidR="00BC34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综指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87" w:rsidRPr="00BC3450" w:rsidRDefault="00E75C87" w:rsidP="00E75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34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深证成指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87" w:rsidRPr="00BC3450" w:rsidRDefault="002311FA" w:rsidP="00E75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34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民企200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87" w:rsidRPr="00BC3450" w:rsidRDefault="002311FA" w:rsidP="00E75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34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深证民营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87" w:rsidRPr="00BC3450" w:rsidRDefault="002311FA" w:rsidP="00E75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34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沪深300</w:t>
            </w:r>
          </w:p>
        </w:tc>
      </w:tr>
      <w:tr w:rsidR="00FF6853" w:rsidRPr="00E75C87" w:rsidTr="0013650D">
        <w:trPr>
          <w:trHeight w:val="27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853" w:rsidRPr="00BC3450" w:rsidRDefault="00FF6853" w:rsidP="00E75C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4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sbl52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民企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3" w:rsidRDefault="00FF685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0.948101194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3" w:rsidRDefault="00FF685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0.885874512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3" w:rsidRDefault="00FF685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0.915956633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3" w:rsidRDefault="00FF685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0.926298527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853" w:rsidRDefault="00FF685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0.924555457</w:t>
            </w:r>
          </w:p>
        </w:tc>
      </w:tr>
    </w:tbl>
    <w:p w:rsidR="00546CFE" w:rsidRDefault="00546CFE" w:rsidP="00546CFE">
      <w:pPr>
        <w:pStyle w:val="1"/>
        <w:spacing w:before="200" w:after="200" w:line="360" w:lineRule="auto"/>
      </w:pPr>
      <w:bookmarkStart w:id="3" w:name="_Toc424829046"/>
      <w:r>
        <w:rPr>
          <w:rFonts w:hint="eastAsia"/>
        </w:rPr>
        <w:t>四</w:t>
      </w:r>
      <w:r>
        <w:rPr>
          <w:rFonts w:hint="eastAsia"/>
        </w:rPr>
        <w:t>.</w:t>
      </w:r>
      <w:r>
        <w:rPr>
          <w:rFonts w:hint="eastAsia"/>
        </w:rPr>
        <w:t>风险收益特征分析</w:t>
      </w:r>
      <w:bookmarkEnd w:id="3"/>
    </w:p>
    <w:p w:rsidR="0024078C" w:rsidRPr="009E6E4D" w:rsidRDefault="00546CFE" w:rsidP="00A77593">
      <w:pPr>
        <w:spacing w:line="360" w:lineRule="auto"/>
        <w:ind w:firstLineChars="200" w:firstLine="420"/>
        <w:rPr>
          <w:rFonts w:asciiTheme="minorEastAsia" w:hAnsiTheme="minorEastAsia"/>
        </w:rPr>
      </w:pPr>
      <w:r w:rsidRPr="009E6E4D">
        <w:rPr>
          <w:rFonts w:asciiTheme="minorEastAsia" w:hAnsiTheme="minorEastAsia" w:hint="eastAsia"/>
        </w:rPr>
        <w:t>风险收益特征是衡量一个指数化投资优劣性的最为重要的方面，下面我们通过各指数201</w:t>
      </w:r>
      <w:r w:rsidR="004F2717">
        <w:rPr>
          <w:rFonts w:asciiTheme="minorEastAsia" w:hAnsiTheme="minorEastAsia" w:hint="eastAsia"/>
        </w:rPr>
        <w:t>6</w:t>
      </w:r>
      <w:r w:rsidRPr="009E6E4D">
        <w:rPr>
          <w:rFonts w:asciiTheme="minorEastAsia" w:hAnsiTheme="minorEastAsia" w:hint="eastAsia"/>
        </w:rPr>
        <w:t>年</w:t>
      </w:r>
      <w:r w:rsidR="00FF6853">
        <w:rPr>
          <w:rFonts w:asciiTheme="minorEastAsia" w:hAnsiTheme="minorEastAsia" w:hint="eastAsia"/>
        </w:rPr>
        <w:t>9</w:t>
      </w:r>
      <w:r w:rsidRPr="009E6E4D">
        <w:rPr>
          <w:rFonts w:asciiTheme="minorEastAsia" w:hAnsiTheme="minorEastAsia" w:hint="eastAsia"/>
        </w:rPr>
        <w:t>月份</w:t>
      </w:r>
      <w:r w:rsidR="0024078C" w:rsidRPr="009E6E4D">
        <w:rPr>
          <w:rFonts w:asciiTheme="minorEastAsia" w:hAnsiTheme="minorEastAsia" w:hint="eastAsia"/>
        </w:rPr>
        <w:t>波动率、β系数、夏普指数、詹森指数评价指标。</w:t>
      </w:r>
    </w:p>
    <w:p w:rsidR="00A77593" w:rsidRPr="009E6E4D" w:rsidRDefault="00546CFE" w:rsidP="00A77593">
      <w:pPr>
        <w:spacing w:line="360" w:lineRule="auto"/>
        <w:ind w:firstLineChars="200" w:firstLine="420"/>
        <w:rPr>
          <w:rFonts w:asciiTheme="minorEastAsia" w:hAnsiTheme="minorEastAsia"/>
        </w:rPr>
      </w:pPr>
      <w:r w:rsidRPr="009E6E4D">
        <w:rPr>
          <w:rFonts w:asciiTheme="minorEastAsia" w:hAnsiTheme="minorEastAsia" w:hint="eastAsia"/>
        </w:rPr>
        <w:t>β系数的基准指数为沪深300指数</w:t>
      </w:r>
      <w:r w:rsidR="0024078C" w:rsidRPr="009E6E4D">
        <w:rPr>
          <w:rFonts w:asciiTheme="minorEastAsia" w:hAnsiTheme="minorEastAsia" w:hint="eastAsia"/>
        </w:rPr>
        <w:t>，</w:t>
      </w:r>
      <w:r w:rsidR="00A77593" w:rsidRPr="009E6E4D">
        <w:rPr>
          <w:rFonts w:asciiTheme="minorEastAsia" w:hAnsiTheme="minorEastAsia" w:cs="Times New Roman" w:hint="eastAsia"/>
          <w:szCs w:val="20"/>
        </w:rPr>
        <w:t>无风险利率取样本时段区间内一年期</w:t>
      </w:r>
      <w:r w:rsidR="00A77593" w:rsidRPr="009E6E4D">
        <w:rPr>
          <w:rFonts w:asciiTheme="minorEastAsia" w:hAnsiTheme="minorEastAsia" w:hint="eastAsia"/>
          <w:szCs w:val="20"/>
        </w:rPr>
        <w:t>贷</w:t>
      </w:r>
      <w:r w:rsidR="00A77593" w:rsidRPr="009E6E4D">
        <w:rPr>
          <w:rFonts w:asciiTheme="minorEastAsia" w:hAnsiTheme="minorEastAsia" w:cs="Times New Roman" w:hint="eastAsia"/>
          <w:szCs w:val="20"/>
        </w:rPr>
        <w:t>款利率——</w:t>
      </w:r>
      <w:r w:rsidR="00DE251E">
        <w:rPr>
          <w:rFonts w:asciiTheme="minorEastAsia" w:hAnsiTheme="minorEastAsia" w:hint="eastAsia"/>
          <w:szCs w:val="20"/>
        </w:rPr>
        <w:t>2.0</w:t>
      </w:r>
      <w:r w:rsidR="00A77593" w:rsidRPr="009E6E4D">
        <w:rPr>
          <w:rFonts w:asciiTheme="minorEastAsia" w:hAnsiTheme="minorEastAsia" w:cs="Times New Roman" w:hint="eastAsia"/>
          <w:szCs w:val="20"/>
        </w:rPr>
        <w:t>%</w:t>
      </w:r>
      <w:r w:rsidR="00A77593" w:rsidRPr="009E6E4D">
        <w:rPr>
          <w:rFonts w:asciiTheme="minorEastAsia" w:hAnsiTheme="minorEastAsia" w:hint="eastAsia"/>
        </w:rPr>
        <w:t>，</w:t>
      </w:r>
      <w:r w:rsidR="0024078C" w:rsidRPr="009E6E4D">
        <w:rPr>
          <w:rFonts w:asciiTheme="minorEastAsia" w:hAnsiTheme="minorEastAsia" w:hint="eastAsia"/>
        </w:rPr>
        <w:t>计算</w:t>
      </w:r>
      <w:r w:rsidR="00A77593" w:rsidRPr="009E6E4D">
        <w:rPr>
          <w:rFonts w:asciiTheme="minorEastAsia" w:hAnsiTheme="minorEastAsia" w:hint="eastAsia"/>
        </w:rPr>
        <w:t>结果如下：</w:t>
      </w:r>
    </w:p>
    <w:tbl>
      <w:tblPr>
        <w:tblW w:w="8540" w:type="dxa"/>
        <w:tblInd w:w="91" w:type="dxa"/>
        <w:tblLook w:val="04A0"/>
      </w:tblPr>
      <w:tblGrid>
        <w:gridCol w:w="1281"/>
        <w:gridCol w:w="1157"/>
        <w:gridCol w:w="1157"/>
        <w:gridCol w:w="1157"/>
        <w:gridCol w:w="1474"/>
        <w:gridCol w:w="1157"/>
        <w:gridCol w:w="1157"/>
      </w:tblGrid>
      <w:tr w:rsidR="000208C5" w:rsidRPr="000208C5" w:rsidTr="000208C5">
        <w:trPr>
          <w:trHeight w:val="285"/>
        </w:trPr>
        <w:tc>
          <w:tcPr>
            <w:tcW w:w="85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8C5" w:rsidRPr="000208C5" w:rsidRDefault="000208C5" w:rsidP="00FF6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208C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2016年</w:t>
            </w:r>
            <w:r w:rsidR="00FF685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</w:t>
            </w:r>
            <w:r w:rsidRPr="000208C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月各指数风险收益特征</w:t>
            </w:r>
          </w:p>
        </w:tc>
      </w:tr>
      <w:tr w:rsidR="000208C5" w:rsidRPr="000208C5" w:rsidTr="000208C5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08C5" w:rsidRPr="000208C5" w:rsidRDefault="000208C5" w:rsidP="000208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08C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08C5" w:rsidRPr="000208C5" w:rsidRDefault="000208C5" w:rsidP="000208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208C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民企成指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08C5" w:rsidRPr="000208C5" w:rsidRDefault="000208C5" w:rsidP="000208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208C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上证综指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08C5" w:rsidRPr="000208C5" w:rsidRDefault="000208C5" w:rsidP="000208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208C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深证成指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08C5" w:rsidRPr="000208C5" w:rsidRDefault="000208C5" w:rsidP="000208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208C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中证民企200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08C5" w:rsidRPr="000208C5" w:rsidRDefault="000208C5" w:rsidP="000208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208C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深证民营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208C5" w:rsidRPr="000208C5" w:rsidRDefault="000208C5" w:rsidP="000208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0208C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沪深300</w:t>
            </w:r>
          </w:p>
        </w:tc>
      </w:tr>
      <w:tr w:rsidR="00FF6853" w:rsidRPr="000208C5" w:rsidTr="000208C5">
        <w:trPr>
          <w:trHeight w:val="345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53" w:rsidRPr="000208C5" w:rsidRDefault="00FF6853" w:rsidP="000208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8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平均回报率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53" w:rsidRDefault="00FF685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-0.000740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53" w:rsidRDefault="00FF6853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-0.000965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53" w:rsidRDefault="00FF685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-0.000480 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53" w:rsidRDefault="00FF6853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-0.000582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53" w:rsidRDefault="00FF6853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-0.000956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53" w:rsidRDefault="00FF6853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-0.000737 </w:t>
            </w:r>
          </w:p>
        </w:tc>
      </w:tr>
      <w:tr w:rsidR="00FF6853" w:rsidRPr="000208C5" w:rsidTr="000208C5">
        <w:trPr>
          <w:trHeight w:val="315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6853" w:rsidRPr="000208C5" w:rsidRDefault="00FF6853" w:rsidP="000208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8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波动率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6853" w:rsidRDefault="00FF685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14.4002%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6853" w:rsidRDefault="00FF685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16.1488%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6853" w:rsidRDefault="00FF685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16.8354%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6853" w:rsidRDefault="00FF685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14.4442%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6853" w:rsidRDefault="00FF685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18.9690%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F6853" w:rsidRDefault="00FF685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16.1123%</w:t>
            </w:r>
          </w:p>
        </w:tc>
      </w:tr>
      <w:tr w:rsidR="00FF6853" w:rsidRPr="000208C5" w:rsidTr="000208C5">
        <w:trPr>
          <w:trHeight w:val="330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53" w:rsidRPr="000208C5" w:rsidRDefault="00FF6853" w:rsidP="000208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8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贝塔系数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53" w:rsidRDefault="00FF6853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0.931130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53" w:rsidRDefault="00FF6853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1.012496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53" w:rsidRDefault="00FF6853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0.700648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53" w:rsidRDefault="00FF6853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0.845379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53" w:rsidRDefault="00FF6853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0.809369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6853" w:rsidRDefault="00FF6853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1.000000 </w:t>
            </w:r>
          </w:p>
        </w:tc>
      </w:tr>
      <w:tr w:rsidR="00FF6853" w:rsidRPr="000208C5" w:rsidTr="000208C5">
        <w:trPr>
          <w:trHeight w:val="360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6853" w:rsidRPr="000208C5" w:rsidRDefault="00FF6853" w:rsidP="000208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8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夏普指数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6853" w:rsidRDefault="00FF6853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-0.087287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6853" w:rsidRDefault="00FF6853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-0.099897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6853" w:rsidRDefault="00FF6853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-0.050233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6853" w:rsidRDefault="00FF6853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-0.069719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F6853" w:rsidRDefault="00FF6853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-0.084280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F6853" w:rsidRDefault="00FF6853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-0.077682 </w:t>
            </w:r>
          </w:p>
        </w:tc>
      </w:tr>
      <w:tr w:rsidR="00FF6853" w:rsidRPr="000208C5" w:rsidTr="000208C5">
        <w:trPr>
          <w:trHeight w:val="345"/>
        </w:trPr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53" w:rsidRPr="000208C5" w:rsidRDefault="00FF6853" w:rsidP="000208C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8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詹森指数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53" w:rsidRDefault="00FF6853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-0.000058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53" w:rsidRDefault="00FF6853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-0.000219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53" w:rsidRDefault="00FF6853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0.000305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53" w:rsidRDefault="00FF6853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0.000097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853" w:rsidRDefault="00FF6853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-0.000057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853" w:rsidRDefault="00FF6853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0.000000 </w:t>
            </w:r>
          </w:p>
        </w:tc>
      </w:tr>
    </w:tbl>
    <w:p w:rsidR="00370B0B" w:rsidRPr="003233B2" w:rsidRDefault="003233B2" w:rsidP="005E7975">
      <w:pPr>
        <w:spacing w:line="360" w:lineRule="auto"/>
        <w:ind w:firstLineChars="200" w:firstLine="420"/>
      </w:pPr>
      <w:r>
        <w:rPr>
          <w:rFonts w:hint="eastAsia"/>
        </w:rPr>
        <w:t>本月</w:t>
      </w:r>
      <w:r w:rsidR="00FF6853">
        <w:rPr>
          <w:rFonts w:hint="eastAsia"/>
        </w:rPr>
        <w:t>各大指数均出现不同程度的回落，其中</w:t>
      </w:r>
      <w:r>
        <w:rPr>
          <w:rFonts w:hint="eastAsia"/>
        </w:rPr>
        <w:t>双保良</w:t>
      </w:r>
      <w:r>
        <w:rPr>
          <w:rFonts w:hint="eastAsia"/>
        </w:rPr>
        <w:t>52</w:t>
      </w:r>
      <w:r>
        <w:rPr>
          <w:rFonts w:hint="eastAsia"/>
        </w:rPr>
        <w:t>中国民企成指平均日回报率</w:t>
      </w:r>
      <w:r w:rsidR="0013650D">
        <w:rPr>
          <w:rFonts w:hint="eastAsia"/>
          <w:szCs w:val="18"/>
        </w:rPr>
        <w:t>在</w:t>
      </w:r>
      <w:r>
        <w:rPr>
          <w:rFonts w:hint="eastAsia"/>
        </w:rPr>
        <w:t>其他几个指数</w:t>
      </w:r>
      <w:r w:rsidR="0013650D">
        <w:rPr>
          <w:rFonts w:hint="eastAsia"/>
        </w:rPr>
        <w:t>中</w:t>
      </w:r>
      <w:r w:rsidR="00FF6853">
        <w:rPr>
          <w:rFonts w:hint="eastAsia"/>
        </w:rPr>
        <w:t>属中等</w:t>
      </w:r>
      <w:r>
        <w:rPr>
          <w:rFonts w:hint="eastAsia"/>
        </w:rPr>
        <w:t>，</w:t>
      </w:r>
      <w:r w:rsidR="00FF6853">
        <w:rPr>
          <w:rFonts w:hint="eastAsia"/>
          <w:szCs w:val="18"/>
        </w:rPr>
        <w:t>回撤幅度不大</w:t>
      </w:r>
      <w:r w:rsidR="00370B0B">
        <w:rPr>
          <w:rFonts w:hint="eastAsia"/>
          <w:szCs w:val="18"/>
        </w:rPr>
        <w:t>。</w:t>
      </w:r>
    </w:p>
    <w:p w:rsidR="00370B0B" w:rsidRDefault="00370B0B" w:rsidP="00370B0B">
      <w:pPr>
        <w:spacing w:line="360" w:lineRule="auto"/>
        <w:ind w:firstLine="435"/>
      </w:pPr>
      <w:r>
        <w:rPr>
          <w:rFonts w:hint="eastAsia"/>
          <w:szCs w:val="18"/>
        </w:rPr>
        <w:t>从夏普指数</w:t>
      </w:r>
      <w:r w:rsidR="003233B2">
        <w:rPr>
          <w:rFonts w:hint="eastAsia"/>
          <w:szCs w:val="18"/>
        </w:rPr>
        <w:t>、</w:t>
      </w:r>
      <w:r w:rsidR="003233B2">
        <w:rPr>
          <w:rFonts w:hint="eastAsia"/>
        </w:rPr>
        <w:t>詹森指数</w:t>
      </w:r>
      <w:r w:rsidR="003233B2" w:rsidRPr="003233B2">
        <w:rPr>
          <w:rFonts w:hint="eastAsia"/>
        </w:rPr>
        <w:t>、特雷诺</w:t>
      </w:r>
      <w:r w:rsidR="003233B2">
        <w:rPr>
          <w:rFonts w:hint="eastAsia"/>
        </w:rPr>
        <w:t>指数等基金收益衡量指标</w:t>
      </w:r>
      <w:r w:rsidR="003233B2" w:rsidRPr="003233B2">
        <w:rPr>
          <w:rFonts w:hint="eastAsia"/>
        </w:rPr>
        <w:t>来</w:t>
      </w:r>
      <w:r w:rsidRPr="003233B2">
        <w:rPr>
          <w:rFonts w:hint="eastAsia"/>
        </w:rPr>
        <w:t>看，</w:t>
      </w:r>
      <w:r w:rsidRPr="00DB1144">
        <w:rPr>
          <w:rFonts w:hint="eastAsia"/>
        </w:rPr>
        <w:t xml:space="preserve"> </w:t>
      </w:r>
      <w:r w:rsidR="0013650D">
        <w:rPr>
          <w:rFonts w:hint="eastAsia"/>
        </w:rPr>
        <w:t>本月</w:t>
      </w:r>
      <w:r w:rsidRPr="00DB1144">
        <w:rPr>
          <w:rFonts w:hint="eastAsia"/>
        </w:rPr>
        <w:t>SBL52</w:t>
      </w:r>
      <w:r w:rsidRPr="00DB1144">
        <w:rPr>
          <w:rFonts w:hint="eastAsia"/>
        </w:rPr>
        <w:t>民企</w:t>
      </w:r>
      <w:r w:rsidR="0013650D">
        <w:rPr>
          <w:rFonts w:hint="eastAsia"/>
        </w:rPr>
        <w:t>指数也劣于上证综指、深证成指、</w:t>
      </w:r>
      <w:r>
        <w:rPr>
          <w:rFonts w:hint="eastAsia"/>
        </w:rPr>
        <w:t>深证民营、沪深</w:t>
      </w:r>
      <w:r>
        <w:rPr>
          <w:rFonts w:hint="eastAsia"/>
        </w:rPr>
        <w:t>300</w:t>
      </w:r>
      <w:r>
        <w:rPr>
          <w:rFonts w:hint="eastAsia"/>
        </w:rPr>
        <w:t>这五个指数</w:t>
      </w:r>
      <w:r w:rsidR="003233B2">
        <w:rPr>
          <w:rFonts w:hint="eastAsia"/>
        </w:rPr>
        <w:t>，风险管理能力</w:t>
      </w:r>
      <w:r w:rsidR="0013650D">
        <w:rPr>
          <w:rFonts w:hint="eastAsia"/>
        </w:rPr>
        <w:t>方面也</w:t>
      </w:r>
      <w:r w:rsidR="00FF6853">
        <w:rPr>
          <w:rFonts w:hint="eastAsia"/>
        </w:rPr>
        <w:t>处于中等水平</w:t>
      </w:r>
      <w:r w:rsidR="005742FA">
        <w:rPr>
          <w:rFonts w:hint="eastAsia"/>
        </w:rPr>
        <w:t>，本月</w:t>
      </w:r>
      <w:r w:rsidR="005742FA" w:rsidRPr="00DB1144">
        <w:rPr>
          <w:rFonts w:hint="eastAsia"/>
        </w:rPr>
        <w:t>SBL52</w:t>
      </w:r>
      <w:r w:rsidR="005742FA" w:rsidRPr="00DB1144">
        <w:rPr>
          <w:rFonts w:hint="eastAsia"/>
        </w:rPr>
        <w:t>民企</w:t>
      </w:r>
      <w:r w:rsidR="005742FA">
        <w:rPr>
          <w:rFonts w:hint="eastAsia"/>
        </w:rPr>
        <w:t>指数总体表现中庸。</w:t>
      </w:r>
    </w:p>
    <w:p w:rsidR="00E92E94" w:rsidRPr="00C10FCC" w:rsidRDefault="00E92E94" w:rsidP="00A77593">
      <w:pPr>
        <w:ind w:firstLineChars="200" w:firstLine="420"/>
      </w:pPr>
    </w:p>
    <w:sectPr w:rsidR="00E92E94" w:rsidRPr="00C10FCC" w:rsidSect="00C44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6CE" w:rsidRDefault="007266CE" w:rsidP="00546CFE">
      <w:r>
        <w:separator/>
      </w:r>
    </w:p>
  </w:endnote>
  <w:endnote w:type="continuationSeparator" w:id="1">
    <w:p w:rsidR="007266CE" w:rsidRDefault="007266CE" w:rsidP="0054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6CE" w:rsidRDefault="007266CE" w:rsidP="00546CFE">
      <w:r>
        <w:separator/>
      </w:r>
    </w:p>
  </w:footnote>
  <w:footnote w:type="continuationSeparator" w:id="1">
    <w:p w:rsidR="007266CE" w:rsidRDefault="007266CE" w:rsidP="00546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CFE"/>
    <w:rsid w:val="000208C5"/>
    <w:rsid w:val="00070604"/>
    <w:rsid w:val="00076231"/>
    <w:rsid w:val="00093066"/>
    <w:rsid w:val="0013650D"/>
    <w:rsid w:val="00147A68"/>
    <w:rsid w:val="001B14E6"/>
    <w:rsid w:val="001D3CBD"/>
    <w:rsid w:val="001F3172"/>
    <w:rsid w:val="002217D6"/>
    <w:rsid w:val="002311FA"/>
    <w:rsid w:val="0024078C"/>
    <w:rsid w:val="00282840"/>
    <w:rsid w:val="002B04CB"/>
    <w:rsid w:val="002C3BFA"/>
    <w:rsid w:val="00302A81"/>
    <w:rsid w:val="00307ECB"/>
    <w:rsid w:val="003233B2"/>
    <w:rsid w:val="003553D4"/>
    <w:rsid w:val="00361088"/>
    <w:rsid w:val="00370B0B"/>
    <w:rsid w:val="003C0C0B"/>
    <w:rsid w:val="003D41D8"/>
    <w:rsid w:val="003E537E"/>
    <w:rsid w:val="00423C4B"/>
    <w:rsid w:val="00427CDC"/>
    <w:rsid w:val="00431574"/>
    <w:rsid w:val="00445CDE"/>
    <w:rsid w:val="00464046"/>
    <w:rsid w:val="00495498"/>
    <w:rsid w:val="004E2255"/>
    <w:rsid w:val="004E3006"/>
    <w:rsid w:val="004F2717"/>
    <w:rsid w:val="005448FC"/>
    <w:rsid w:val="00546CFE"/>
    <w:rsid w:val="005742FA"/>
    <w:rsid w:val="00590974"/>
    <w:rsid w:val="005B5947"/>
    <w:rsid w:val="005E7975"/>
    <w:rsid w:val="00641A9A"/>
    <w:rsid w:val="006A1789"/>
    <w:rsid w:val="006B0845"/>
    <w:rsid w:val="006D2375"/>
    <w:rsid w:val="006F005A"/>
    <w:rsid w:val="00710EFE"/>
    <w:rsid w:val="007266CE"/>
    <w:rsid w:val="007C777E"/>
    <w:rsid w:val="007E2B04"/>
    <w:rsid w:val="007F02E9"/>
    <w:rsid w:val="0085664A"/>
    <w:rsid w:val="00866A1E"/>
    <w:rsid w:val="008E3292"/>
    <w:rsid w:val="009300DB"/>
    <w:rsid w:val="00957C7E"/>
    <w:rsid w:val="009802EA"/>
    <w:rsid w:val="009A2E50"/>
    <w:rsid w:val="009A5F69"/>
    <w:rsid w:val="009E6E4D"/>
    <w:rsid w:val="00A01623"/>
    <w:rsid w:val="00A323CD"/>
    <w:rsid w:val="00A60779"/>
    <w:rsid w:val="00A60934"/>
    <w:rsid w:val="00A77593"/>
    <w:rsid w:val="00AA53B3"/>
    <w:rsid w:val="00B24E6A"/>
    <w:rsid w:val="00B57E8D"/>
    <w:rsid w:val="00BA52E8"/>
    <w:rsid w:val="00BB6E5C"/>
    <w:rsid w:val="00BC3450"/>
    <w:rsid w:val="00BE4251"/>
    <w:rsid w:val="00BF7FAF"/>
    <w:rsid w:val="00C06E13"/>
    <w:rsid w:val="00C10FCC"/>
    <w:rsid w:val="00C13E88"/>
    <w:rsid w:val="00C36A94"/>
    <w:rsid w:val="00C4404E"/>
    <w:rsid w:val="00CA3B03"/>
    <w:rsid w:val="00CB1AC3"/>
    <w:rsid w:val="00CB74D6"/>
    <w:rsid w:val="00CC24EB"/>
    <w:rsid w:val="00CD1B68"/>
    <w:rsid w:val="00CD3265"/>
    <w:rsid w:val="00CE388E"/>
    <w:rsid w:val="00CF4A31"/>
    <w:rsid w:val="00D077CD"/>
    <w:rsid w:val="00D22DBE"/>
    <w:rsid w:val="00D36CD6"/>
    <w:rsid w:val="00D82C3E"/>
    <w:rsid w:val="00DE251E"/>
    <w:rsid w:val="00E311D9"/>
    <w:rsid w:val="00E75C87"/>
    <w:rsid w:val="00E92E94"/>
    <w:rsid w:val="00EA192F"/>
    <w:rsid w:val="00EA50F1"/>
    <w:rsid w:val="00F009B3"/>
    <w:rsid w:val="00F52CC7"/>
    <w:rsid w:val="00F568AC"/>
    <w:rsid w:val="00F73E9F"/>
    <w:rsid w:val="00FA79D8"/>
    <w:rsid w:val="00FB55B0"/>
    <w:rsid w:val="00FC4B64"/>
    <w:rsid w:val="00FD3A74"/>
    <w:rsid w:val="00FF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F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46CFE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6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6C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6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6C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46CFE"/>
    <w:rPr>
      <w:b/>
      <w:bCs/>
      <w:kern w:val="44"/>
      <w:sz w:val="24"/>
      <w:szCs w:val="44"/>
    </w:rPr>
  </w:style>
  <w:style w:type="table" w:styleId="a5">
    <w:name w:val="Table Grid"/>
    <w:basedOn w:val="a1"/>
    <w:uiPriority w:val="59"/>
    <w:rsid w:val="00546C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E53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53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5237;&#36164;&#36890;&#35759;\201609&#25237;&#36164;&#36890;&#35759;\&#30456;&#20851;&#20844;&#24335;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5237;&#36164;&#36890;&#35759;\201609&#25237;&#36164;&#36890;&#35759;\&#30456;&#20851;&#20844;&#24335;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4037;&#20316;&#35828;&#26126;\2016&#24180;01&#26376;&#25237;&#36164;&#36890;&#35759;\52&#34892;&#19994;&#24066;&#20540;&#21344;&#2760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lineChart>
        <c:grouping val="standard"/>
        <c:ser>
          <c:idx val="0"/>
          <c:order val="0"/>
          <c:tx>
            <c:strRef>
              <c:f>涨跌幅与相关性!$K$3</c:f>
              <c:strCache>
                <c:ptCount val="1"/>
                <c:pt idx="0">
                  <c:v>民企成指</c:v>
                </c:pt>
              </c:strCache>
            </c:strRef>
          </c:tx>
          <c:marker>
            <c:symbol val="none"/>
          </c:marker>
          <c:val>
            <c:numRef>
              <c:f>涨跌幅与相关性!$K$4:$K$24</c:f>
              <c:numCache>
                <c:formatCode>General</c:formatCode>
                <c:ptCount val="21"/>
                <c:pt idx="0">
                  <c:v>0</c:v>
                </c:pt>
                <c:pt idx="1">
                  <c:v>-2.5856044723969749E-3</c:v>
                </c:pt>
                <c:pt idx="2">
                  <c:v>1.5897973445142546E-3</c:v>
                </c:pt>
                <c:pt idx="3">
                  <c:v>2.7777777777777692E-3</c:v>
                </c:pt>
                <c:pt idx="4">
                  <c:v>6.0097833682739585E-3</c:v>
                </c:pt>
                <c:pt idx="5">
                  <c:v>1.5443745632425013E-2</c:v>
                </c:pt>
                <c:pt idx="6">
                  <c:v>1.9042627533193638E-2</c:v>
                </c:pt>
                <c:pt idx="7">
                  <c:v>1.467505241090139E-2</c:v>
                </c:pt>
                <c:pt idx="8">
                  <c:v>-4.5946890286512332E-3</c:v>
                </c:pt>
                <c:pt idx="9">
                  <c:v>-5.9049615653389296E-3</c:v>
                </c:pt>
                <c:pt idx="10">
                  <c:v>-1.5199161425576424E-2</c:v>
                </c:pt>
                <c:pt idx="11">
                  <c:v>-3.6338225017469314E-3</c:v>
                </c:pt>
                <c:pt idx="12">
                  <c:v>-5.8350803633823176E-3</c:v>
                </c:pt>
                <c:pt idx="13">
                  <c:v>-6.865828092243122E-3</c:v>
                </c:pt>
                <c:pt idx="14">
                  <c:v>3.6687631027265699E-4</c:v>
                </c:pt>
                <c:pt idx="15">
                  <c:v>-3.616352201257778E-3</c:v>
                </c:pt>
                <c:pt idx="16">
                  <c:v>-1.99336128581411E-2</c:v>
                </c:pt>
                <c:pt idx="17">
                  <c:v>-1.4570230607966474E-2</c:v>
                </c:pt>
                <c:pt idx="18">
                  <c:v>-2.0754716981132067E-2</c:v>
                </c:pt>
                <c:pt idx="19">
                  <c:v>-2.0545073375262016E-2</c:v>
                </c:pt>
                <c:pt idx="20">
                  <c:v>-1.7243186582809211E-2</c:v>
                </c:pt>
              </c:numCache>
            </c:numRef>
          </c:val>
        </c:ser>
        <c:ser>
          <c:idx val="1"/>
          <c:order val="1"/>
          <c:tx>
            <c:strRef>
              <c:f>涨跌幅与相关性!$L$3</c:f>
              <c:strCache>
                <c:ptCount val="1"/>
                <c:pt idx="0">
                  <c:v>上证综指</c:v>
                </c:pt>
              </c:strCache>
            </c:strRef>
          </c:tx>
          <c:marker>
            <c:symbol val="none"/>
          </c:marker>
          <c:val>
            <c:numRef>
              <c:f>涨跌幅与相关性!$L$4:$L$24</c:f>
              <c:numCache>
                <c:formatCode>General</c:formatCode>
                <c:ptCount val="21"/>
                <c:pt idx="0">
                  <c:v>0</c:v>
                </c:pt>
                <c:pt idx="1">
                  <c:v>-7.1917264356713435E-3</c:v>
                </c:pt>
                <c:pt idx="2">
                  <c:v>-5.8791310294312735E-3</c:v>
                </c:pt>
                <c:pt idx="3">
                  <c:v>-4.3429082576834643E-3</c:v>
                </c:pt>
                <c:pt idx="4">
                  <c:v>1.6917896347097285E-3</c:v>
                </c:pt>
                <c:pt idx="5">
                  <c:v>2.0871887447375683E-3</c:v>
                </c:pt>
                <c:pt idx="6">
                  <c:v>3.3900612220425516E-3</c:v>
                </c:pt>
                <c:pt idx="7">
                  <c:v>-2.1520082709715065E-3</c:v>
                </c:pt>
                <c:pt idx="8">
                  <c:v>-2.0583440555632878E-2</c:v>
                </c:pt>
                <c:pt idx="9">
                  <c:v>-2.0087571179942091E-2</c:v>
                </c:pt>
                <c:pt idx="10">
                  <c:v>-2.6783428239922972E-2</c:v>
                </c:pt>
                <c:pt idx="11">
                  <c:v>-1.9264363196769278E-2</c:v>
                </c:pt>
                <c:pt idx="12">
                  <c:v>-2.0252860971839096E-2</c:v>
                </c:pt>
                <c:pt idx="13">
                  <c:v>-1.9322700770380011E-2</c:v>
                </c:pt>
                <c:pt idx="14">
                  <c:v>-1.3994535713938386E-2</c:v>
                </c:pt>
                <c:pt idx="15">
                  <c:v>-1.6720196792081591E-2</c:v>
                </c:pt>
                <c:pt idx="16">
                  <c:v>-3.4049697130763674E-2</c:v>
                </c:pt>
                <c:pt idx="17">
                  <c:v>-2.8300205153800388E-2</c:v>
                </c:pt>
                <c:pt idx="18">
                  <c:v>-3.1641651731167404E-2</c:v>
                </c:pt>
                <c:pt idx="19">
                  <c:v>-2.8199734888137644E-2</c:v>
                </c:pt>
                <c:pt idx="20">
                  <c:v>-2.6183847622257679E-2</c:v>
                </c:pt>
              </c:numCache>
            </c:numRef>
          </c:val>
        </c:ser>
        <c:ser>
          <c:idx val="2"/>
          <c:order val="2"/>
          <c:tx>
            <c:strRef>
              <c:f>涨跌幅与相关性!$M$3</c:f>
              <c:strCache>
                <c:ptCount val="1"/>
                <c:pt idx="0">
                  <c:v>深证成指</c:v>
                </c:pt>
              </c:strCache>
            </c:strRef>
          </c:tx>
          <c:marker>
            <c:symbol val="none"/>
          </c:marker>
          <c:val>
            <c:numRef>
              <c:f>涨跌幅与相关性!$M$4:$M$24</c:f>
              <c:numCache>
                <c:formatCode>General</c:formatCode>
                <c:ptCount val="21"/>
                <c:pt idx="0">
                  <c:v>0</c:v>
                </c:pt>
                <c:pt idx="1">
                  <c:v>-8.2144437379854125E-3</c:v>
                </c:pt>
                <c:pt idx="2">
                  <c:v>-1.0918508107545246E-2</c:v>
                </c:pt>
                <c:pt idx="3">
                  <c:v>-5.8031879887113788E-3</c:v>
                </c:pt>
                <c:pt idx="4">
                  <c:v>9.6320092806390107E-3</c:v>
                </c:pt>
                <c:pt idx="5">
                  <c:v>7.5135621516506683E-3</c:v>
                </c:pt>
                <c:pt idx="6">
                  <c:v>8.6736420186879267E-3</c:v>
                </c:pt>
                <c:pt idx="7">
                  <c:v>4.5640962717574668E-4</c:v>
                </c:pt>
                <c:pt idx="8">
                  <c:v>-2.7542601330373565E-2</c:v>
                </c:pt>
                <c:pt idx="9">
                  <c:v>-2.2615980100168413E-2</c:v>
                </c:pt>
                <c:pt idx="10">
                  <c:v>-2.8224891893198201E-2</c:v>
                </c:pt>
                <c:pt idx="11">
                  <c:v>-1.8649585234265416E-2</c:v>
                </c:pt>
                <c:pt idx="12">
                  <c:v>-1.983197432951456E-2</c:v>
                </c:pt>
                <c:pt idx="13">
                  <c:v>-1.6218808910305697E-2</c:v>
                </c:pt>
                <c:pt idx="14">
                  <c:v>-8.8930160961081545E-3</c:v>
                </c:pt>
                <c:pt idx="15">
                  <c:v>-1.3774089318713162E-2</c:v>
                </c:pt>
                <c:pt idx="16">
                  <c:v>-3.3945349827289258E-2</c:v>
                </c:pt>
                <c:pt idx="17">
                  <c:v>-2.611202207126307E-2</c:v>
                </c:pt>
                <c:pt idx="18">
                  <c:v>-2.6187315716479382E-2</c:v>
                </c:pt>
                <c:pt idx="19">
                  <c:v>-2.2832565524062331E-2</c:v>
                </c:pt>
                <c:pt idx="20">
                  <c:v>-1.7689358869963149E-2</c:v>
                </c:pt>
              </c:numCache>
            </c:numRef>
          </c:val>
        </c:ser>
        <c:ser>
          <c:idx val="5"/>
          <c:order val="3"/>
          <c:tx>
            <c:strRef>
              <c:f>涨跌幅与相关性!$P$3</c:f>
              <c:strCache>
                <c:ptCount val="1"/>
                <c:pt idx="0">
                  <c:v>沪深300</c:v>
                </c:pt>
              </c:strCache>
            </c:strRef>
          </c:tx>
          <c:marker>
            <c:symbol val="none"/>
          </c:marker>
          <c:val>
            <c:numRef>
              <c:f>涨跌幅与相关性!$P$4:$P$24</c:f>
              <c:numCache>
                <c:formatCode>General</c:formatCode>
                <c:ptCount val="21"/>
                <c:pt idx="0">
                  <c:v>0</c:v>
                </c:pt>
                <c:pt idx="1">
                  <c:v>-7.8760979508923929E-3</c:v>
                </c:pt>
                <c:pt idx="2">
                  <c:v>-4.1108363208014476E-3</c:v>
                </c:pt>
                <c:pt idx="3">
                  <c:v>-2.4370528188377709E-3</c:v>
                </c:pt>
                <c:pt idx="4">
                  <c:v>4.459416008822715E-3</c:v>
                </c:pt>
                <c:pt idx="5">
                  <c:v>3.9155114956173085E-3</c:v>
                </c:pt>
                <c:pt idx="6">
                  <c:v>3.536881834490746E-3</c:v>
                </c:pt>
                <c:pt idx="7">
                  <c:v>-2.9298723777642088E-3</c:v>
                </c:pt>
                <c:pt idx="8">
                  <c:v>-1.9589577467328149E-2</c:v>
                </c:pt>
                <c:pt idx="9">
                  <c:v>-2.0271711856817871E-2</c:v>
                </c:pt>
                <c:pt idx="10">
                  <c:v>-2.6762506047557033E-2</c:v>
                </c:pt>
                <c:pt idx="11">
                  <c:v>-1.9433317607180815E-2</c:v>
                </c:pt>
                <c:pt idx="12">
                  <c:v>-2.1152176068802379E-2</c:v>
                </c:pt>
                <c:pt idx="13">
                  <c:v>-1.8375558553875074E-2</c:v>
                </c:pt>
                <c:pt idx="14">
                  <c:v>-1.1019325137703985E-2</c:v>
                </c:pt>
                <c:pt idx="15">
                  <c:v>-1.566204598246879E-2</c:v>
                </c:pt>
                <c:pt idx="16">
                  <c:v>-3.2306726085480138E-2</c:v>
                </c:pt>
                <c:pt idx="17">
                  <c:v>-2.6155496590830489E-2</c:v>
                </c:pt>
                <c:pt idx="18">
                  <c:v>-2.9118423939010641E-2</c:v>
                </c:pt>
                <c:pt idx="19">
                  <c:v>-2.5061677569798605E-2</c:v>
                </c:pt>
                <c:pt idx="20">
                  <c:v>-2.2390234960739667E-2</c:v>
                </c:pt>
              </c:numCache>
            </c:numRef>
          </c:val>
        </c:ser>
        <c:marker val="1"/>
        <c:axId val="124028800"/>
        <c:axId val="124181888"/>
      </c:lineChart>
      <c:catAx>
        <c:axId val="124028800"/>
        <c:scaling>
          <c:orientation val="minMax"/>
        </c:scaling>
        <c:delete val="1"/>
        <c:axPos val="b"/>
        <c:tickLblPos val="nextTo"/>
        <c:crossAx val="124181888"/>
        <c:crosses val="autoZero"/>
        <c:auto val="1"/>
        <c:lblAlgn val="ctr"/>
        <c:lblOffset val="100"/>
      </c:catAx>
      <c:valAx>
        <c:axId val="124181888"/>
        <c:scaling>
          <c:orientation val="minMax"/>
        </c:scaling>
        <c:axPos val="l"/>
        <c:majorGridlines/>
        <c:numFmt formatCode="0.00%" sourceLinked="0"/>
        <c:tickLblPos val="nextTo"/>
        <c:crossAx val="124028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lineChart>
        <c:grouping val="standard"/>
        <c:ser>
          <c:idx val="0"/>
          <c:order val="0"/>
          <c:tx>
            <c:strRef>
              <c:f>涨跌幅与相关性!$K$3</c:f>
              <c:strCache>
                <c:ptCount val="1"/>
                <c:pt idx="0">
                  <c:v>民企成指</c:v>
                </c:pt>
              </c:strCache>
            </c:strRef>
          </c:tx>
          <c:marker>
            <c:symbol val="none"/>
          </c:marker>
          <c:cat>
            <c:numRef>
              <c:f>涨跌幅与相关性!$J$4:$J$24</c:f>
              <c:numCache>
                <c:formatCode>yyyy/m/d;@</c:formatCode>
                <c:ptCount val="21"/>
                <c:pt idx="0">
                  <c:v>42613</c:v>
                </c:pt>
                <c:pt idx="1">
                  <c:v>42614</c:v>
                </c:pt>
                <c:pt idx="2">
                  <c:v>42615</c:v>
                </c:pt>
                <c:pt idx="3">
                  <c:v>42618</c:v>
                </c:pt>
                <c:pt idx="4">
                  <c:v>42619</c:v>
                </c:pt>
                <c:pt idx="5">
                  <c:v>42620</c:v>
                </c:pt>
                <c:pt idx="6">
                  <c:v>42621</c:v>
                </c:pt>
                <c:pt idx="7">
                  <c:v>42622</c:v>
                </c:pt>
                <c:pt idx="8">
                  <c:v>42625</c:v>
                </c:pt>
                <c:pt idx="9">
                  <c:v>42626</c:v>
                </c:pt>
                <c:pt idx="10">
                  <c:v>42627</c:v>
                </c:pt>
                <c:pt idx="11">
                  <c:v>42632</c:v>
                </c:pt>
                <c:pt idx="12">
                  <c:v>42633</c:v>
                </c:pt>
                <c:pt idx="13">
                  <c:v>42634</c:v>
                </c:pt>
                <c:pt idx="14">
                  <c:v>42635</c:v>
                </c:pt>
                <c:pt idx="15">
                  <c:v>42636</c:v>
                </c:pt>
                <c:pt idx="16">
                  <c:v>42639</c:v>
                </c:pt>
                <c:pt idx="17">
                  <c:v>42640</c:v>
                </c:pt>
                <c:pt idx="18">
                  <c:v>42641</c:v>
                </c:pt>
                <c:pt idx="19">
                  <c:v>42642</c:v>
                </c:pt>
                <c:pt idx="20">
                  <c:v>42643</c:v>
                </c:pt>
              </c:numCache>
            </c:numRef>
          </c:cat>
          <c:val>
            <c:numRef>
              <c:f>涨跌幅与相关性!$K$4:$K$24</c:f>
              <c:numCache>
                <c:formatCode>General</c:formatCode>
                <c:ptCount val="21"/>
                <c:pt idx="0">
                  <c:v>0</c:v>
                </c:pt>
                <c:pt idx="1">
                  <c:v>-2.5856044723969749E-3</c:v>
                </c:pt>
                <c:pt idx="2">
                  <c:v>1.5897973445142546E-3</c:v>
                </c:pt>
                <c:pt idx="3">
                  <c:v>2.7777777777777692E-3</c:v>
                </c:pt>
                <c:pt idx="4">
                  <c:v>6.0097833682739585E-3</c:v>
                </c:pt>
                <c:pt idx="5">
                  <c:v>1.5443745632425013E-2</c:v>
                </c:pt>
                <c:pt idx="6">
                  <c:v>1.9042627533193638E-2</c:v>
                </c:pt>
                <c:pt idx="7">
                  <c:v>1.467505241090139E-2</c:v>
                </c:pt>
                <c:pt idx="8">
                  <c:v>-4.5946890286512332E-3</c:v>
                </c:pt>
                <c:pt idx="9">
                  <c:v>-5.9049615653389296E-3</c:v>
                </c:pt>
                <c:pt idx="10">
                  <c:v>-1.5199161425576424E-2</c:v>
                </c:pt>
                <c:pt idx="11">
                  <c:v>-3.6338225017469314E-3</c:v>
                </c:pt>
                <c:pt idx="12">
                  <c:v>-5.8350803633823176E-3</c:v>
                </c:pt>
                <c:pt idx="13">
                  <c:v>-6.865828092243122E-3</c:v>
                </c:pt>
                <c:pt idx="14">
                  <c:v>3.6687631027265699E-4</c:v>
                </c:pt>
                <c:pt idx="15">
                  <c:v>-3.616352201257778E-3</c:v>
                </c:pt>
                <c:pt idx="16">
                  <c:v>-1.99336128581411E-2</c:v>
                </c:pt>
                <c:pt idx="17">
                  <c:v>-1.4570230607966474E-2</c:v>
                </c:pt>
                <c:pt idx="18">
                  <c:v>-2.0754716981132067E-2</c:v>
                </c:pt>
                <c:pt idx="19">
                  <c:v>-2.0545073375262016E-2</c:v>
                </c:pt>
                <c:pt idx="20">
                  <c:v>-1.7243186582809211E-2</c:v>
                </c:pt>
              </c:numCache>
            </c:numRef>
          </c:val>
        </c:ser>
        <c:ser>
          <c:idx val="3"/>
          <c:order val="1"/>
          <c:tx>
            <c:strRef>
              <c:f>涨跌幅与相关性!$N$3</c:f>
              <c:strCache>
                <c:ptCount val="1"/>
                <c:pt idx="0">
                  <c:v>民企200</c:v>
                </c:pt>
              </c:strCache>
            </c:strRef>
          </c:tx>
          <c:marker>
            <c:symbol val="none"/>
          </c:marker>
          <c:cat>
            <c:numRef>
              <c:f>涨跌幅与相关性!$J$4:$J$24</c:f>
              <c:numCache>
                <c:formatCode>yyyy/m/d;@</c:formatCode>
                <c:ptCount val="21"/>
                <c:pt idx="0">
                  <c:v>42613</c:v>
                </c:pt>
                <c:pt idx="1">
                  <c:v>42614</c:v>
                </c:pt>
                <c:pt idx="2">
                  <c:v>42615</c:v>
                </c:pt>
                <c:pt idx="3">
                  <c:v>42618</c:v>
                </c:pt>
                <c:pt idx="4">
                  <c:v>42619</c:v>
                </c:pt>
                <c:pt idx="5">
                  <c:v>42620</c:v>
                </c:pt>
                <c:pt idx="6">
                  <c:v>42621</c:v>
                </c:pt>
                <c:pt idx="7">
                  <c:v>42622</c:v>
                </c:pt>
                <c:pt idx="8">
                  <c:v>42625</c:v>
                </c:pt>
                <c:pt idx="9">
                  <c:v>42626</c:v>
                </c:pt>
                <c:pt idx="10">
                  <c:v>42627</c:v>
                </c:pt>
                <c:pt idx="11">
                  <c:v>42632</c:v>
                </c:pt>
                <c:pt idx="12">
                  <c:v>42633</c:v>
                </c:pt>
                <c:pt idx="13">
                  <c:v>42634</c:v>
                </c:pt>
                <c:pt idx="14">
                  <c:v>42635</c:v>
                </c:pt>
                <c:pt idx="15">
                  <c:v>42636</c:v>
                </c:pt>
                <c:pt idx="16">
                  <c:v>42639</c:v>
                </c:pt>
                <c:pt idx="17">
                  <c:v>42640</c:v>
                </c:pt>
                <c:pt idx="18">
                  <c:v>42641</c:v>
                </c:pt>
                <c:pt idx="19">
                  <c:v>42642</c:v>
                </c:pt>
                <c:pt idx="20">
                  <c:v>42643</c:v>
                </c:pt>
              </c:numCache>
            </c:numRef>
          </c:cat>
          <c:val>
            <c:numRef>
              <c:f>涨跌幅与相关性!$N$4:$N$24</c:f>
              <c:numCache>
                <c:formatCode>General</c:formatCode>
                <c:ptCount val="21"/>
                <c:pt idx="0">
                  <c:v>0</c:v>
                </c:pt>
                <c:pt idx="1">
                  <c:v>-6.1608223926307168E-3</c:v>
                </c:pt>
                <c:pt idx="2">
                  <c:v>-7.0926616177202648E-3</c:v>
                </c:pt>
                <c:pt idx="3">
                  <c:v>-3.6917452102277482E-3</c:v>
                </c:pt>
                <c:pt idx="4">
                  <c:v>8.9622753495881575E-3</c:v>
                </c:pt>
                <c:pt idx="5">
                  <c:v>5.7512879561263395E-3</c:v>
                </c:pt>
                <c:pt idx="6">
                  <c:v>6.2795280264003068E-3</c:v>
                </c:pt>
                <c:pt idx="7">
                  <c:v>-1.3473089432823881E-3</c:v>
                </c:pt>
                <c:pt idx="8">
                  <c:v>-2.1325467106668831E-2</c:v>
                </c:pt>
                <c:pt idx="9">
                  <c:v>-1.6589112319270519E-2</c:v>
                </c:pt>
                <c:pt idx="10">
                  <c:v>-2.3070439923078671E-2</c:v>
                </c:pt>
                <c:pt idx="11">
                  <c:v>-1.4458346193110257E-2</c:v>
                </c:pt>
                <c:pt idx="12">
                  <c:v>-1.4363381686094745E-2</c:v>
                </c:pt>
                <c:pt idx="13">
                  <c:v>-1.3146648939958649E-2</c:v>
                </c:pt>
                <c:pt idx="14">
                  <c:v>-8.2144298568409563E-3</c:v>
                </c:pt>
                <c:pt idx="15">
                  <c:v>-1.1140523729256228E-2</c:v>
                </c:pt>
                <c:pt idx="16">
                  <c:v>-2.9599249780394528E-2</c:v>
                </c:pt>
                <c:pt idx="17">
                  <c:v>-2.2862705063982362E-2</c:v>
                </c:pt>
                <c:pt idx="18">
                  <c:v>-2.5836281189905223E-2</c:v>
                </c:pt>
                <c:pt idx="19">
                  <c:v>-2.2322594430331574E-2</c:v>
                </c:pt>
                <c:pt idx="20">
                  <c:v>-1.7663398304883508E-2</c:v>
                </c:pt>
              </c:numCache>
            </c:numRef>
          </c:val>
        </c:ser>
        <c:ser>
          <c:idx val="4"/>
          <c:order val="2"/>
          <c:tx>
            <c:strRef>
              <c:f>涨跌幅与相关性!$O$3</c:f>
              <c:strCache>
                <c:ptCount val="1"/>
                <c:pt idx="0">
                  <c:v>深证民营</c:v>
                </c:pt>
              </c:strCache>
            </c:strRef>
          </c:tx>
          <c:marker>
            <c:symbol val="none"/>
          </c:marker>
          <c:cat>
            <c:numRef>
              <c:f>涨跌幅与相关性!$J$4:$J$24</c:f>
              <c:numCache>
                <c:formatCode>yyyy/m/d;@</c:formatCode>
                <c:ptCount val="21"/>
                <c:pt idx="0">
                  <c:v>42613</c:v>
                </c:pt>
                <c:pt idx="1">
                  <c:v>42614</c:v>
                </c:pt>
                <c:pt idx="2">
                  <c:v>42615</c:v>
                </c:pt>
                <c:pt idx="3">
                  <c:v>42618</c:v>
                </c:pt>
                <c:pt idx="4">
                  <c:v>42619</c:v>
                </c:pt>
                <c:pt idx="5">
                  <c:v>42620</c:v>
                </c:pt>
                <c:pt idx="6">
                  <c:v>42621</c:v>
                </c:pt>
                <c:pt idx="7">
                  <c:v>42622</c:v>
                </c:pt>
                <c:pt idx="8">
                  <c:v>42625</c:v>
                </c:pt>
                <c:pt idx="9">
                  <c:v>42626</c:v>
                </c:pt>
                <c:pt idx="10">
                  <c:v>42627</c:v>
                </c:pt>
                <c:pt idx="11">
                  <c:v>42632</c:v>
                </c:pt>
                <c:pt idx="12">
                  <c:v>42633</c:v>
                </c:pt>
                <c:pt idx="13">
                  <c:v>42634</c:v>
                </c:pt>
                <c:pt idx="14">
                  <c:v>42635</c:v>
                </c:pt>
                <c:pt idx="15">
                  <c:v>42636</c:v>
                </c:pt>
                <c:pt idx="16">
                  <c:v>42639</c:v>
                </c:pt>
                <c:pt idx="17">
                  <c:v>42640</c:v>
                </c:pt>
                <c:pt idx="18">
                  <c:v>42641</c:v>
                </c:pt>
                <c:pt idx="19">
                  <c:v>42642</c:v>
                </c:pt>
                <c:pt idx="20">
                  <c:v>42643</c:v>
                </c:pt>
              </c:numCache>
            </c:numRef>
          </c:cat>
          <c:val>
            <c:numRef>
              <c:f>涨跌幅与相关性!$O$4:$O$24</c:f>
              <c:numCache>
                <c:formatCode>General</c:formatCode>
                <c:ptCount val="21"/>
                <c:pt idx="0">
                  <c:v>0</c:v>
                </c:pt>
                <c:pt idx="1">
                  <c:v>-5.0726381805714675E-3</c:v>
                </c:pt>
                <c:pt idx="2">
                  <c:v>-9.6934164694983983E-3</c:v>
                </c:pt>
                <c:pt idx="3">
                  <c:v>-5.2474784401524985E-3</c:v>
                </c:pt>
                <c:pt idx="4">
                  <c:v>1.1080785282537206E-2</c:v>
                </c:pt>
                <c:pt idx="5">
                  <c:v>7.4363876639977908E-3</c:v>
                </c:pt>
                <c:pt idx="6">
                  <c:v>8.8986880168573385E-3</c:v>
                </c:pt>
                <c:pt idx="7">
                  <c:v>1.8755591482326752E-3</c:v>
                </c:pt>
                <c:pt idx="8">
                  <c:v>-2.5367732208300686E-2</c:v>
                </c:pt>
                <c:pt idx="9">
                  <c:v>-2.2225148841285906E-2</c:v>
                </c:pt>
                <c:pt idx="10">
                  <c:v>-2.886907870536471E-2</c:v>
                </c:pt>
                <c:pt idx="11">
                  <c:v>-1.9273300302905087E-2</c:v>
                </c:pt>
                <c:pt idx="12">
                  <c:v>-1.9602544947570858E-2</c:v>
                </c:pt>
                <c:pt idx="13">
                  <c:v>-1.7202465020594859E-2</c:v>
                </c:pt>
                <c:pt idx="14">
                  <c:v>-1.207306052197765E-2</c:v>
                </c:pt>
                <c:pt idx="15">
                  <c:v>-1.6396383304344675E-2</c:v>
                </c:pt>
                <c:pt idx="16">
                  <c:v>-3.6780032788225399E-2</c:v>
                </c:pt>
                <c:pt idx="17">
                  <c:v>-2.9622935409012736E-2</c:v>
                </c:pt>
                <c:pt idx="18">
                  <c:v>-3.2483957838520323E-2</c:v>
                </c:pt>
                <c:pt idx="19">
                  <c:v>-2.8721486278445729E-2</c:v>
                </c:pt>
                <c:pt idx="20">
                  <c:v>-2.3925867729937881E-2</c:v>
                </c:pt>
              </c:numCache>
            </c:numRef>
          </c:val>
        </c:ser>
        <c:marker val="1"/>
        <c:axId val="128257408"/>
        <c:axId val="128353408"/>
      </c:lineChart>
      <c:dateAx>
        <c:axId val="128257408"/>
        <c:scaling>
          <c:orientation val="minMax"/>
        </c:scaling>
        <c:delete val="1"/>
        <c:axPos val="b"/>
        <c:numFmt formatCode="yyyy/m/d;@" sourceLinked="1"/>
        <c:tickLblPos val="nextTo"/>
        <c:crossAx val="128353408"/>
        <c:crosses val="autoZero"/>
        <c:auto val="1"/>
        <c:lblOffset val="100"/>
      </c:dateAx>
      <c:valAx>
        <c:axId val="128353408"/>
        <c:scaling>
          <c:orientation val="minMax"/>
        </c:scaling>
        <c:axPos val="l"/>
        <c:majorGridlines/>
        <c:numFmt formatCode="General" sourceLinked="1"/>
        <c:tickLblPos val="nextTo"/>
        <c:crossAx val="128257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图表!$C$4</c:f>
              <c:strCache>
                <c:ptCount val="1"/>
                <c:pt idx="0">
                  <c:v>市值(亿元)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图表!$B$5:$B$11</c:f>
              <c:strCache>
                <c:ptCount val="7"/>
                <c:pt idx="0">
                  <c:v>批发零售</c:v>
                </c:pt>
                <c:pt idx="1">
                  <c:v>旅游业</c:v>
                </c:pt>
                <c:pt idx="2">
                  <c:v>信息技术业</c:v>
                </c:pt>
                <c:pt idx="3">
                  <c:v>公共事业</c:v>
                </c:pt>
                <c:pt idx="4">
                  <c:v>制造业</c:v>
                </c:pt>
                <c:pt idx="5">
                  <c:v>金融业</c:v>
                </c:pt>
                <c:pt idx="6">
                  <c:v>房地产业</c:v>
                </c:pt>
              </c:strCache>
            </c:strRef>
          </c:cat>
          <c:val>
            <c:numRef>
              <c:f>图表!$C$5:$C$11</c:f>
              <c:numCache>
                <c:formatCode>0.00_);[Red]\(0.00\)</c:formatCode>
                <c:ptCount val="7"/>
                <c:pt idx="0">
                  <c:v>785.55119999999852</c:v>
                </c:pt>
                <c:pt idx="1">
                  <c:v>330.56100000000004</c:v>
                </c:pt>
                <c:pt idx="2">
                  <c:v>1462.1801999999998</c:v>
                </c:pt>
                <c:pt idx="3">
                  <c:v>482.38249999999999</c:v>
                </c:pt>
                <c:pt idx="4">
                  <c:v>9690.595000000003</c:v>
                </c:pt>
                <c:pt idx="5">
                  <c:v>5516.9040000000005</c:v>
                </c:pt>
                <c:pt idx="6">
                  <c:v>2957.6349999999998</c:v>
                </c:pt>
              </c:numCache>
            </c:numRef>
          </c:val>
        </c:ser>
        <c:ser>
          <c:idx val="1"/>
          <c:order val="1"/>
          <c:tx>
            <c:strRef>
              <c:f>图表!$D$4</c:f>
              <c:strCache>
                <c:ptCount val="1"/>
                <c:pt idx="0">
                  <c:v>占比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图表!$B$5:$B$11</c:f>
              <c:strCache>
                <c:ptCount val="7"/>
                <c:pt idx="0">
                  <c:v>批发零售</c:v>
                </c:pt>
                <c:pt idx="1">
                  <c:v>旅游业</c:v>
                </c:pt>
                <c:pt idx="2">
                  <c:v>信息技术业</c:v>
                </c:pt>
                <c:pt idx="3">
                  <c:v>公共事业</c:v>
                </c:pt>
                <c:pt idx="4">
                  <c:v>制造业</c:v>
                </c:pt>
                <c:pt idx="5">
                  <c:v>金融业</c:v>
                </c:pt>
                <c:pt idx="6">
                  <c:v>房地产业</c:v>
                </c:pt>
              </c:strCache>
            </c:strRef>
          </c:cat>
          <c:val>
            <c:numRef>
              <c:f>图表!$D$5:$D$11</c:f>
              <c:numCache>
                <c:formatCode>0.00%</c:formatCode>
                <c:ptCount val="7"/>
                <c:pt idx="0">
                  <c:v>3.7009246794830052E-2</c:v>
                </c:pt>
                <c:pt idx="1">
                  <c:v>1.5573540756790662E-2</c:v>
                </c:pt>
                <c:pt idx="2">
                  <c:v>6.8886901172468484E-2</c:v>
                </c:pt>
                <c:pt idx="3">
                  <c:v>2.272622458218778E-2</c:v>
                </c:pt>
                <c:pt idx="4">
                  <c:v>0.45654773609122629</c:v>
                </c:pt>
                <c:pt idx="5">
                  <c:v>0.25991490011012031</c:v>
                </c:pt>
                <c:pt idx="6">
                  <c:v>0.13934145049237745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234</Words>
  <Characters>1339</Characters>
  <Application>Microsoft Office Word</Application>
  <DocSecurity>0</DocSecurity>
  <Lines>11</Lines>
  <Paragraphs>3</Paragraphs>
  <ScaleCrop>false</ScaleCrop>
  <Company>http://sdwm.org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69</cp:revision>
  <dcterms:created xsi:type="dcterms:W3CDTF">2015-09-06T09:00:00Z</dcterms:created>
  <dcterms:modified xsi:type="dcterms:W3CDTF">2016-10-14T02:06:00Z</dcterms:modified>
</cp:coreProperties>
</file>