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FE" w:rsidRDefault="00546CFE" w:rsidP="00546CFE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指数运行情况分析</w:t>
      </w:r>
    </w:p>
    <w:p w:rsidR="00546CFE" w:rsidRDefault="00546CFE" w:rsidP="00546CFE">
      <w:pPr>
        <w:pStyle w:val="1"/>
        <w:spacing w:before="200" w:after="200" w:line="360" w:lineRule="auto"/>
      </w:pPr>
      <w:bookmarkStart w:id="0" w:name="_Toc424829043"/>
      <w:r>
        <w:rPr>
          <w:rFonts w:hint="eastAsia"/>
        </w:rPr>
        <w:t>一</w:t>
      </w:r>
      <w:r>
        <w:rPr>
          <w:rFonts w:hint="eastAsia"/>
        </w:rPr>
        <w:t>.</w:t>
      </w:r>
      <w:r>
        <w:rPr>
          <w:rFonts w:hint="eastAsia"/>
        </w:rPr>
        <w:t>市场表现</w:t>
      </w:r>
      <w:bookmarkEnd w:id="0"/>
    </w:p>
    <w:p w:rsidR="000208C5" w:rsidRPr="00B96DBB" w:rsidRDefault="000208C5" w:rsidP="000208C5">
      <w:pPr>
        <w:spacing w:line="360" w:lineRule="auto"/>
        <w:ind w:firstLineChars="200" w:firstLine="420"/>
        <w:rPr>
          <w:rFonts w:asciiTheme="minorEastAsia" w:hAnsiTheme="minorEastAsia"/>
        </w:rPr>
      </w:pPr>
      <w:r w:rsidRPr="00B96DBB">
        <w:rPr>
          <w:rFonts w:asciiTheme="minorEastAsia" w:hAnsiTheme="minorEastAsia" w:hint="eastAsia"/>
        </w:rPr>
        <w:t>本月，SBL中国民企52指数开盘</w:t>
      </w:r>
      <w:r w:rsidR="00866A1E">
        <w:rPr>
          <w:rFonts w:asciiTheme="minorEastAsia" w:hAnsiTheme="minorEastAsia" w:hint="eastAsia"/>
        </w:rPr>
        <w:t>5</w:t>
      </w:r>
      <w:r w:rsidR="0013650D">
        <w:rPr>
          <w:rFonts w:asciiTheme="minorEastAsia" w:hAnsiTheme="minorEastAsia" w:hint="eastAsia"/>
        </w:rPr>
        <w:t>54.95</w:t>
      </w:r>
      <w:r w:rsidRPr="00B96DBB">
        <w:rPr>
          <w:rFonts w:asciiTheme="minorEastAsia" w:hAnsiTheme="minorEastAsia" w:hint="eastAsia"/>
        </w:rPr>
        <w:t>点，最高</w:t>
      </w:r>
      <w:r w:rsidR="00866A1E">
        <w:rPr>
          <w:rFonts w:asciiTheme="minorEastAsia" w:hAnsiTheme="minorEastAsia" w:hint="eastAsia"/>
        </w:rPr>
        <w:t>5</w:t>
      </w:r>
      <w:r w:rsidR="0013650D">
        <w:rPr>
          <w:rFonts w:asciiTheme="minorEastAsia" w:hAnsiTheme="minorEastAsia" w:hint="eastAsia"/>
        </w:rPr>
        <w:t>81.71</w:t>
      </w:r>
      <w:r w:rsidRPr="00B96DBB">
        <w:rPr>
          <w:rFonts w:asciiTheme="minorEastAsia" w:hAnsiTheme="minorEastAsia" w:hint="eastAsia"/>
        </w:rPr>
        <w:t>点，收盘</w:t>
      </w:r>
      <w:r w:rsidR="00866A1E">
        <w:rPr>
          <w:rFonts w:asciiTheme="minorEastAsia" w:hAnsiTheme="minorEastAsia" w:hint="eastAsia"/>
        </w:rPr>
        <w:t>5</w:t>
      </w:r>
      <w:r w:rsidR="0013650D">
        <w:rPr>
          <w:rFonts w:asciiTheme="minorEastAsia" w:hAnsiTheme="minorEastAsia" w:hint="eastAsia"/>
        </w:rPr>
        <w:t>72.40</w:t>
      </w:r>
      <w:r w:rsidRPr="00B96DBB">
        <w:rPr>
          <w:rFonts w:asciiTheme="minorEastAsia" w:hAnsiTheme="minorEastAsia" w:hint="eastAsia"/>
        </w:rPr>
        <w:t>点，</w:t>
      </w:r>
      <w:r w:rsidR="0013650D">
        <w:rPr>
          <w:rFonts w:asciiTheme="minorEastAsia" w:hAnsiTheme="minorEastAsia" w:hint="eastAsia"/>
        </w:rPr>
        <w:t>上涨17.45</w:t>
      </w:r>
      <w:r w:rsidRPr="00B96DBB">
        <w:rPr>
          <w:rFonts w:asciiTheme="minorEastAsia" w:hAnsiTheme="minorEastAsia" w:hint="eastAsia"/>
        </w:rPr>
        <w:t>点，</w:t>
      </w:r>
      <w:r w:rsidR="0013650D">
        <w:rPr>
          <w:rFonts w:asciiTheme="minorEastAsia" w:hAnsiTheme="minorEastAsia" w:hint="eastAsia"/>
        </w:rPr>
        <w:t>涨幅</w:t>
      </w:r>
      <w:r>
        <w:rPr>
          <w:rFonts w:asciiTheme="minorEastAsia" w:hAnsiTheme="minorEastAsia" w:hint="eastAsia"/>
        </w:rPr>
        <w:t>为</w:t>
      </w:r>
      <w:r w:rsidR="0013650D">
        <w:rPr>
          <w:rFonts w:asciiTheme="minorEastAsia" w:hAnsiTheme="minorEastAsia" w:hint="eastAsia"/>
        </w:rPr>
        <w:t>3.14</w:t>
      </w:r>
      <w:r w:rsidR="00866A1E">
        <w:rPr>
          <w:rFonts w:asciiTheme="minorEastAsia" w:hAnsiTheme="minorEastAsia" w:hint="eastAsia"/>
        </w:rPr>
        <w:t>%</w:t>
      </w:r>
      <w:r w:rsidRPr="00B96DBB">
        <w:rPr>
          <w:rFonts w:asciiTheme="minorEastAsia" w:hAnsiTheme="minorEastAsia" w:hint="eastAsia"/>
        </w:rPr>
        <w:t>。</w:t>
      </w:r>
    </w:p>
    <w:p w:rsidR="000208C5" w:rsidRDefault="000208C5" w:rsidP="000208C5">
      <w:pPr>
        <w:spacing w:line="360" w:lineRule="auto"/>
        <w:ind w:firstLineChars="200" w:firstLine="420"/>
        <w:rPr>
          <w:rFonts w:asciiTheme="minorEastAsia" w:hAnsiTheme="minorEastAsia"/>
        </w:rPr>
      </w:pPr>
      <w:r w:rsidRPr="00B96DBB">
        <w:rPr>
          <w:rFonts w:asciiTheme="minorEastAsia" w:hAnsiTheme="minorEastAsia" w:hint="eastAsia"/>
        </w:rPr>
        <w:t>同期，上证综指</w:t>
      </w:r>
      <w:r w:rsidR="0013650D">
        <w:rPr>
          <w:rFonts w:asciiTheme="minorEastAsia" w:hAnsiTheme="minorEastAsia" w:hint="eastAsia"/>
        </w:rPr>
        <w:t>上涨4.47</w:t>
      </w:r>
      <w:r w:rsidRPr="00B96DBB">
        <w:rPr>
          <w:rFonts w:asciiTheme="minorEastAsia" w:hAnsiTheme="minorEastAsia" w:hint="eastAsia"/>
        </w:rPr>
        <w:t>%，深证成指</w:t>
      </w:r>
      <w:r w:rsidR="0013650D">
        <w:rPr>
          <w:rFonts w:asciiTheme="minorEastAsia" w:hAnsiTheme="minorEastAsia" w:hint="eastAsia"/>
        </w:rPr>
        <w:t>上涨5.62</w:t>
      </w:r>
      <w:r w:rsidRPr="00B96DBB">
        <w:rPr>
          <w:rFonts w:asciiTheme="minorEastAsia" w:hAnsiTheme="minorEastAsia" w:hint="eastAsia"/>
        </w:rPr>
        <w:t>%，</w:t>
      </w:r>
      <w:r w:rsidR="0013650D" w:rsidRPr="00B96DBB">
        <w:rPr>
          <w:rFonts w:asciiTheme="minorEastAsia" w:hAnsiTheme="minorEastAsia" w:hint="eastAsia"/>
        </w:rPr>
        <w:t>中证民企200指数</w:t>
      </w:r>
      <w:r w:rsidR="0013650D">
        <w:rPr>
          <w:rFonts w:asciiTheme="minorEastAsia" w:hAnsiTheme="minorEastAsia" w:hint="eastAsia"/>
        </w:rPr>
        <w:t>上涨4.16</w:t>
      </w:r>
      <w:r w:rsidR="0013650D" w:rsidRPr="00B96DBB">
        <w:rPr>
          <w:rFonts w:asciiTheme="minorEastAsia" w:hAnsiTheme="minorEastAsia" w:hint="eastAsia"/>
        </w:rPr>
        <w:t>%，深证民营指数</w:t>
      </w:r>
      <w:r w:rsidR="0013650D">
        <w:rPr>
          <w:rFonts w:asciiTheme="minorEastAsia" w:hAnsiTheme="minorEastAsia" w:hint="eastAsia"/>
        </w:rPr>
        <w:t>上涨5.01%，</w:t>
      </w:r>
      <w:r w:rsidRPr="00B96DBB">
        <w:rPr>
          <w:rFonts w:asciiTheme="minorEastAsia" w:hAnsiTheme="minorEastAsia" w:hint="eastAsia"/>
        </w:rPr>
        <w:t>沪深300</w:t>
      </w:r>
      <w:r w:rsidR="0013650D">
        <w:rPr>
          <w:rFonts w:asciiTheme="minorEastAsia" w:hAnsiTheme="minorEastAsia" w:hint="eastAsia"/>
        </w:rPr>
        <w:t>上涨4.75</w:t>
      </w:r>
      <w:r w:rsidRPr="00B96DBB">
        <w:rPr>
          <w:rFonts w:asciiTheme="minorEastAsia" w:hAnsiTheme="minorEastAsia" w:hint="eastAsia"/>
        </w:rPr>
        <w:t>%。</w:t>
      </w:r>
    </w:p>
    <w:p w:rsidR="00546CFE" w:rsidRDefault="00546CFE" w:rsidP="00985CE6">
      <w:pPr>
        <w:spacing w:beforeLines="50"/>
        <w:ind w:firstLineChars="200" w:firstLine="422"/>
        <w:jc w:val="center"/>
        <w:rPr>
          <w:b/>
        </w:rPr>
      </w:pPr>
      <w:r w:rsidRPr="003E537E">
        <w:rPr>
          <w:rFonts w:hint="eastAsia"/>
          <w:b/>
        </w:rPr>
        <w:t>图表</w:t>
      </w:r>
      <w:r w:rsidR="00CD1B68">
        <w:rPr>
          <w:rFonts w:hint="eastAsia"/>
          <w:b/>
        </w:rPr>
        <w:t>1</w:t>
      </w:r>
      <w:r w:rsidRPr="003E537E">
        <w:rPr>
          <w:rFonts w:hint="eastAsia"/>
          <w:b/>
        </w:rPr>
        <w:t>：</w:t>
      </w:r>
      <w:r w:rsidR="003E537E" w:rsidRPr="003E537E">
        <w:rPr>
          <w:rFonts w:hint="eastAsia"/>
          <w:b/>
        </w:rPr>
        <w:t>SBL</w:t>
      </w:r>
      <w:r w:rsidR="003E537E" w:rsidRPr="003E537E">
        <w:rPr>
          <w:rFonts w:hint="eastAsia"/>
          <w:b/>
        </w:rPr>
        <w:t>中国民企</w:t>
      </w:r>
      <w:r w:rsidR="003E537E" w:rsidRPr="003E537E">
        <w:rPr>
          <w:rFonts w:hint="eastAsia"/>
          <w:b/>
        </w:rPr>
        <w:t>52</w:t>
      </w:r>
      <w:r w:rsidR="003E537E" w:rsidRPr="003E537E">
        <w:rPr>
          <w:rFonts w:hint="eastAsia"/>
          <w:b/>
        </w:rPr>
        <w:t>指数与</w:t>
      </w:r>
      <w:r w:rsidRPr="003E537E">
        <w:rPr>
          <w:rFonts w:hint="eastAsia"/>
          <w:b/>
        </w:rPr>
        <w:t>主要指数表现对比</w:t>
      </w:r>
    </w:p>
    <w:p w:rsidR="003E537E" w:rsidRDefault="0013650D" w:rsidP="00985CE6">
      <w:pPr>
        <w:spacing w:beforeLines="50"/>
        <w:ind w:firstLineChars="200" w:firstLine="422"/>
        <w:jc w:val="center"/>
        <w:rPr>
          <w:b/>
        </w:rPr>
      </w:pPr>
      <w:r w:rsidRPr="0013650D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537E" w:rsidRDefault="003E537E" w:rsidP="00985CE6">
      <w:pPr>
        <w:spacing w:beforeLines="50"/>
        <w:ind w:firstLineChars="200" w:firstLine="422"/>
        <w:jc w:val="center"/>
        <w:rPr>
          <w:b/>
        </w:rPr>
      </w:pPr>
      <w:r w:rsidRPr="003E537E">
        <w:rPr>
          <w:rFonts w:hint="eastAsia"/>
          <w:b/>
        </w:rPr>
        <w:t>图表</w:t>
      </w:r>
      <w:r w:rsidR="00CD1B68">
        <w:rPr>
          <w:rFonts w:hint="eastAsia"/>
          <w:b/>
        </w:rPr>
        <w:t>2</w:t>
      </w:r>
      <w:r w:rsidRPr="003E537E">
        <w:rPr>
          <w:rFonts w:hint="eastAsia"/>
          <w:b/>
        </w:rPr>
        <w:t>：</w:t>
      </w:r>
      <w:r w:rsidRPr="003E537E">
        <w:rPr>
          <w:rFonts w:hint="eastAsia"/>
          <w:b/>
        </w:rPr>
        <w:t>SBL</w:t>
      </w:r>
      <w:r w:rsidRPr="003E537E">
        <w:rPr>
          <w:rFonts w:hint="eastAsia"/>
          <w:b/>
        </w:rPr>
        <w:t>中国民企</w:t>
      </w:r>
      <w:r w:rsidRPr="003E537E">
        <w:rPr>
          <w:rFonts w:hint="eastAsia"/>
          <w:b/>
        </w:rPr>
        <w:t>52</w:t>
      </w:r>
      <w:r w:rsidRPr="003E537E">
        <w:rPr>
          <w:rFonts w:hint="eastAsia"/>
          <w:b/>
        </w:rPr>
        <w:t>指数与</w:t>
      </w:r>
      <w:r>
        <w:rPr>
          <w:rFonts w:hint="eastAsia"/>
          <w:b/>
        </w:rPr>
        <w:t>同类</w:t>
      </w:r>
      <w:r w:rsidRPr="003E537E">
        <w:rPr>
          <w:rFonts w:hint="eastAsia"/>
          <w:b/>
        </w:rPr>
        <w:t>指数表现对比</w:t>
      </w:r>
    </w:p>
    <w:p w:rsidR="00546CFE" w:rsidRDefault="0013650D" w:rsidP="00985CE6">
      <w:pPr>
        <w:spacing w:beforeLines="50"/>
        <w:ind w:firstLineChars="200" w:firstLine="422"/>
        <w:jc w:val="center"/>
        <w:rPr>
          <w:b/>
        </w:rPr>
      </w:pPr>
      <w:r w:rsidRPr="0013650D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6CFE" w:rsidRDefault="00546CFE" w:rsidP="00546CFE">
      <w:pPr>
        <w:pStyle w:val="1"/>
        <w:spacing w:before="200" w:after="200" w:line="360" w:lineRule="auto"/>
      </w:pPr>
      <w:bookmarkStart w:id="1" w:name="_Toc424829044"/>
      <w:r>
        <w:rPr>
          <w:rFonts w:hint="eastAsia"/>
        </w:rPr>
        <w:lastRenderedPageBreak/>
        <w:t>二</w:t>
      </w:r>
      <w:r>
        <w:rPr>
          <w:rFonts w:hint="eastAsia"/>
        </w:rPr>
        <w:t>.</w:t>
      </w:r>
      <w:r>
        <w:rPr>
          <w:rFonts w:hint="eastAsia"/>
        </w:rPr>
        <w:t>行业与公司权重</w:t>
      </w:r>
      <w:bookmarkEnd w:id="1"/>
    </w:p>
    <w:p w:rsidR="005B5947" w:rsidRDefault="00546CFE" w:rsidP="00985CE6">
      <w:pPr>
        <w:spacing w:afterLines="50"/>
        <w:ind w:firstLineChars="200" w:firstLine="420"/>
      </w:pPr>
      <w:r>
        <w:rPr>
          <w:rFonts w:hint="eastAsia"/>
        </w:rPr>
        <w:t>按照证监会行业分类，</w:t>
      </w:r>
      <w:r w:rsidR="002B04CB" w:rsidRPr="00CD1B68">
        <w:rPr>
          <w:rFonts w:asciiTheme="minorEastAsia" w:hAnsiTheme="minorEastAsia" w:hint="eastAsia"/>
        </w:rPr>
        <w:t xml:space="preserve"> </w:t>
      </w:r>
      <w:r w:rsidRPr="00CD1B68">
        <w:rPr>
          <w:rFonts w:asciiTheme="minorEastAsia" w:hAnsiTheme="minorEastAsia" w:hint="eastAsia"/>
        </w:rPr>
        <w:t>SBL52中国</w:t>
      </w:r>
      <w:r w:rsidRPr="00970916">
        <w:rPr>
          <w:rFonts w:hint="eastAsia"/>
        </w:rPr>
        <w:t>民企指数成分股</w:t>
      </w:r>
      <w:r>
        <w:rPr>
          <w:rFonts w:hint="eastAsia"/>
        </w:rPr>
        <w:t>中</w:t>
      </w:r>
      <w:r w:rsidR="00CD1B68">
        <w:rPr>
          <w:rFonts w:hint="eastAsia"/>
        </w:rPr>
        <w:t>行业分布为</w:t>
      </w:r>
      <w:r w:rsidR="00A60779">
        <w:rPr>
          <w:rFonts w:hint="eastAsia"/>
        </w:rPr>
        <w:t>如下</w:t>
      </w:r>
      <w:r w:rsidR="00CD1B68">
        <w:rPr>
          <w:rFonts w:hint="eastAsia"/>
        </w:rPr>
        <w:t>：</w:t>
      </w:r>
    </w:p>
    <w:p w:rsidR="002B04CB" w:rsidRDefault="00546CFE" w:rsidP="00985CE6">
      <w:pPr>
        <w:spacing w:afterLines="50"/>
        <w:ind w:firstLineChars="200" w:firstLine="420"/>
      </w:pPr>
      <w:r>
        <w:rPr>
          <w:rFonts w:hint="eastAsia"/>
        </w:rPr>
        <w:t>制造业</w:t>
      </w:r>
      <w:r w:rsidR="00F52CC7">
        <w:rPr>
          <w:rFonts w:hint="eastAsia"/>
        </w:rPr>
        <w:t>39</w:t>
      </w:r>
      <w:r>
        <w:rPr>
          <w:rFonts w:hint="eastAsia"/>
        </w:rPr>
        <w:t>支，</w:t>
      </w:r>
      <w:r w:rsidRPr="00970916">
        <w:rPr>
          <w:rFonts w:hint="eastAsia"/>
        </w:rPr>
        <w:t>房地产与建筑业</w:t>
      </w:r>
      <w:r w:rsidR="00A60779">
        <w:rPr>
          <w:rFonts w:hint="eastAsia"/>
        </w:rPr>
        <w:t>2</w:t>
      </w:r>
      <w:r>
        <w:rPr>
          <w:rFonts w:hint="eastAsia"/>
        </w:rPr>
        <w:t>支，金融业</w:t>
      </w:r>
      <w:r w:rsidR="00F52CC7">
        <w:rPr>
          <w:rFonts w:hint="eastAsia"/>
        </w:rPr>
        <w:t>1</w:t>
      </w:r>
      <w:r>
        <w:rPr>
          <w:rFonts w:hint="eastAsia"/>
        </w:rPr>
        <w:t>支，</w:t>
      </w:r>
      <w:r w:rsidR="00A60779">
        <w:rPr>
          <w:rFonts w:hint="eastAsia"/>
        </w:rPr>
        <w:t>旅游业</w:t>
      </w:r>
      <w:r w:rsidR="00A60779">
        <w:rPr>
          <w:rFonts w:hint="eastAsia"/>
        </w:rPr>
        <w:t>1</w:t>
      </w:r>
      <w:r w:rsidR="00A60779">
        <w:rPr>
          <w:rFonts w:hint="eastAsia"/>
        </w:rPr>
        <w:t>支，</w:t>
      </w:r>
      <w:r>
        <w:rPr>
          <w:rFonts w:hint="eastAsia"/>
        </w:rPr>
        <w:t>批发零售业</w:t>
      </w:r>
      <w:r>
        <w:rPr>
          <w:rFonts w:hint="eastAsia"/>
        </w:rPr>
        <w:t>1</w:t>
      </w:r>
      <w:r>
        <w:rPr>
          <w:rFonts w:hint="eastAsia"/>
        </w:rPr>
        <w:t>支，信息技术业</w:t>
      </w:r>
      <w:r w:rsidR="00F52CC7">
        <w:rPr>
          <w:rFonts w:hint="eastAsia"/>
        </w:rPr>
        <w:t>7</w:t>
      </w:r>
      <w:r>
        <w:rPr>
          <w:rFonts w:hint="eastAsia"/>
        </w:rPr>
        <w:t>支，公用事业</w:t>
      </w:r>
      <w:r>
        <w:rPr>
          <w:rFonts w:hint="eastAsia"/>
        </w:rPr>
        <w:t>1</w:t>
      </w:r>
      <w:r>
        <w:rPr>
          <w:rFonts w:hint="eastAsia"/>
        </w:rPr>
        <w:t>支，</w:t>
      </w:r>
      <w:r w:rsidR="002B04CB">
        <w:rPr>
          <w:rFonts w:hint="eastAsia"/>
        </w:rPr>
        <w:t>。</w:t>
      </w:r>
    </w:p>
    <w:p w:rsidR="00546CFE" w:rsidRDefault="002B04CB" w:rsidP="00985CE6">
      <w:pPr>
        <w:spacing w:afterLines="50"/>
        <w:ind w:firstLineChars="200" w:firstLine="420"/>
      </w:pPr>
      <w:r>
        <w:rPr>
          <w:rFonts w:hint="eastAsia"/>
        </w:rPr>
        <w:t>本月</w:t>
      </w:r>
      <w:r w:rsidRPr="00CD1B68">
        <w:rPr>
          <w:rFonts w:asciiTheme="minorEastAsia" w:hAnsiTheme="minorEastAsia" w:hint="eastAsia"/>
        </w:rPr>
        <w:t>SBL52中国</w:t>
      </w:r>
      <w:r w:rsidRPr="00970916">
        <w:rPr>
          <w:rFonts w:hint="eastAsia"/>
        </w:rPr>
        <w:t>民企指数成分股</w:t>
      </w:r>
      <w:r>
        <w:rPr>
          <w:rFonts w:hint="eastAsia"/>
        </w:rPr>
        <w:t>行业和</w:t>
      </w:r>
      <w:r w:rsidR="00A60779">
        <w:rPr>
          <w:rFonts w:hint="eastAsia"/>
        </w:rPr>
        <w:t>市值占</w:t>
      </w:r>
      <w:r w:rsidR="00CE388E">
        <w:rPr>
          <w:rFonts w:hint="eastAsia"/>
        </w:rPr>
        <w:t>比</w:t>
      </w:r>
      <w:r>
        <w:rPr>
          <w:rFonts w:hint="eastAsia"/>
        </w:rPr>
        <w:t>如下：</w:t>
      </w:r>
    </w:p>
    <w:p w:rsidR="002B04CB" w:rsidRDefault="002B04CB" w:rsidP="00985CE6">
      <w:pPr>
        <w:spacing w:beforeLines="50"/>
        <w:ind w:firstLineChars="836" w:firstLine="1762"/>
        <w:rPr>
          <w:b/>
        </w:rPr>
      </w:pPr>
      <w:r w:rsidRPr="003E537E">
        <w:rPr>
          <w:rFonts w:hint="eastAsia"/>
          <w:b/>
        </w:rPr>
        <w:t>图表</w:t>
      </w:r>
      <w:r>
        <w:rPr>
          <w:rFonts w:hint="eastAsia"/>
          <w:b/>
        </w:rPr>
        <w:t>3</w:t>
      </w:r>
      <w:r w:rsidRPr="003E537E">
        <w:rPr>
          <w:rFonts w:hint="eastAsia"/>
          <w:b/>
        </w:rPr>
        <w:t>：</w:t>
      </w:r>
      <w:r w:rsidRPr="003E537E">
        <w:rPr>
          <w:rFonts w:hint="eastAsia"/>
          <w:b/>
        </w:rPr>
        <w:t>SBL</w:t>
      </w:r>
      <w:r w:rsidRPr="003E537E">
        <w:rPr>
          <w:rFonts w:hint="eastAsia"/>
          <w:b/>
        </w:rPr>
        <w:t>中国民企</w:t>
      </w:r>
      <w:r w:rsidRPr="003E537E">
        <w:rPr>
          <w:rFonts w:hint="eastAsia"/>
          <w:b/>
        </w:rPr>
        <w:t>52</w:t>
      </w:r>
      <w:r w:rsidRPr="003E537E">
        <w:rPr>
          <w:rFonts w:hint="eastAsia"/>
          <w:b/>
        </w:rPr>
        <w:t>指数</w:t>
      </w:r>
      <w:r>
        <w:rPr>
          <w:rFonts w:hint="eastAsia"/>
          <w:b/>
        </w:rPr>
        <w:t>成分股行业市值</w:t>
      </w:r>
    </w:p>
    <w:tbl>
      <w:tblPr>
        <w:tblW w:w="5560" w:type="dxa"/>
        <w:tblInd w:w="1390" w:type="dxa"/>
        <w:tblLook w:val="04A0"/>
      </w:tblPr>
      <w:tblGrid>
        <w:gridCol w:w="1860"/>
        <w:gridCol w:w="1780"/>
        <w:gridCol w:w="1920"/>
      </w:tblGrid>
      <w:tr w:rsidR="000208C5" w:rsidRPr="000208C5" w:rsidTr="000208C5">
        <w:trPr>
          <w:trHeight w:val="27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8C5" w:rsidRPr="000208C5" w:rsidRDefault="000208C5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行业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8C5" w:rsidRPr="000208C5" w:rsidRDefault="000208C5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市值(亿元)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8C5" w:rsidRPr="000208C5" w:rsidRDefault="000208C5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占比</w:t>
            </w:r>
          </w:p>
        </w:tc>
      </w:tr>
      <w:tr w:rsidR="006F005A" w:rsidRPr="000208C5" w:rsidTr="000208C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0208C5" w:rsidRDefault="006F005A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批发零售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 xml:space="preserve">845.35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>3.76%</w:t>
            </w:r>
          </w:p>
        </w:tc>
      </w:tr>
      <w:tr w:rsidR="006F005A" w:rsidRPr="000208C5" w:rsidTr="000208C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0208C5" w:rsidRDefault="006F005A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 xml:space="preserve">417.71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>1.86%</w:t>
            </w:r>
          </w:p>
        </w:tc>
      </w:tr>
      <w:tr w:rsidR="006F005A" w:rsidRPr="000208C5" w:rsidTr="000208C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0208C5" w:rsidRDefault="006F005A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 xml:space="preserve">1619.09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>7.20%</w:t>
            </w:r>
          </w:p>
        </w:tc>
      </w:tr>
      <w:tr w:rsidR="006F005A" w:rsidRPr="000208C5" w:rsidTr="000208C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0208C5" w:rsidRDefault="006F005A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 xml:space="preserve">479.19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>2.13%</w:t>
            </w:r>
          </w:p>
        </w:tc>
      </w:tr>
      <w:tr w:rsidR="006F005A" w:rsidRPr="000208C5" w:rsidTr="000208C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0208C5" w:rsidRDefault="006F005A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 xml:space="preserve">10341.78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>45.97%</w:t>
            </w:r>
          </w:p>
        </w:tc>
      </w:tr>
      <w:tr w:rsidR="006F005A" w:rsidRPr="000208C5" w:rsidTr="000208C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0208C5" w:rsidRDefault="006F005A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 xml:space="preserve">5814.87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>25.85%</w:t>
            </w:r>
          </w:p>
        </w:tc>
      </w:tr>
      <w:tr w:rsidR="006F005A" w:rsidRPr="000208C5" w:rsidTr="000208C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0208C5" w:rsidRDefault="006F005A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 xml:space="preserve">2977.14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>13.23%</w:t>
            </w:r>
          </w:p>
        </w:tc>
      </w:tr>
    </w:tbl>
    <w:p w:rsidR="00F52CC7" w:rsidRPr="00302A81" w:rsidRDefault="00F52CC7" w:rsidP="00985CE6">
      <w:pPr>
        <w:spacing w:beforeLines="50"/>
        <w:rPr>
          <w:b/>
        </w:rPr>
      </w:pPr>
    </w:p>
    <w:p w:rsidR="0024078C" w:rsidRPr="00302A81" w:rsidRDefault="0024078C" w:rsidP="00985CE6">
      <w:pPr>
        <w:spacing w:beforeLines="50"/>
        <w:ind w:firstLineChars="200" w:firstLine="422"/>
        <w:jc w:val="center"/>
        <w:rPr>
          <w:b/>
        </w:rPr>
      </w:pPr>
      <w:r w:rsidRPr="003E537E">
        <w:rPr>
          <w:rFonts w:hint="eastAsia"/>
          <w:b/>
        </w:rPr>
        <w:t>图表</w:t>
      </w:r>
      <w:r w:rsidR="002B04CB">
        <w:rPr>
          <w:rFonts w:hint="eastAsia"/>
          <w:b/>
        </w:rPr>
        <w:t>4</w:t>
      </w:r>
      <w:r w:rsidRPr="003E537E">
        <w:rPr>
          <w:rFonts w:hint="eastAsia"/>
          <w:b/>
        </w:rPr>
        <w:t>：</w:t>
      </w:r>
      <w:r w:rsidRPr="003E537E">
        <w:rPr>
          <w:rFonts w:hint="eastAsia"/>
          <w:b/>
        </w:rPr>
        <w:t>SBL</w:t>
      </w:r>
      <w:r w:rsidRPr="003E537E">
        <w:rPr>
          <w:rFonts w:hint="eastAsia"/>
          <w:b/>
        </w:rPr>
        <w:t>中国民企</w:t>
      </w:r>
      <w:r w:rsidR="00147A68">
        <w:rPr>
          <w:rFonts w:hint="eastAsia"/>
          <w:b/>
        </w:rPr>
        <w:t>成分股行业</w:t>
      </w:r>
      <w:r w:rsidR="00F73E9F">
        <w:rPr>
          <w:rFonts w:hint="eastAsia"/>
          <w:b/>
        </w:rPr>
        <w:t>市值</w:t>
      </w:r>
      <w:r w:rsidR="00147A68">
        <w:rPr>
          <w:rFonts w:hint="eastAsia"/>
          <w:b/>
        </w:rPr>
        <w:t>占比</w:t>
      </w:r>
    </w:p>
    <w:p w:rsidR="0024078C" w:rsidRDefault="0024078C" w:rsidP="00985CE6">
      <w:pPr>
        <w:spacing w:beforeLines="50"/>
        <w:ind w:firstLineChars="200" w:firstLine="422"/>
        <w:jc w:val="center"/>
        <w:rPr>
          <w:b/>
        </w:rPr>
      </w:pPr>
    </w:p>
    <w:p w:rsidR="0024078C" w:rsidRDefault="004E2255" w:rsidP="00985CE6">
      <w:pPr>
        <w:spacing w:beforeLines="50"/>
        <w:ind w:firstLineChars="200" w:firstLine="420"/>
      </w:pPr>
      <w:bookmarkStart w:id="2" w:name="_Toc424829045"/>
      <w:r>
        <w:rPr>
          <w:rFonts w:hint="eastAsia"/>
        </w:rPr>
        <w:t>截止</w:t>
      </w:r>
      <w:r w:rsidR="0024078C">
        <w:rPr>
          <w:rFonts w:hint="eastAsia"/>
        </w:rPr>
        <w:t>本月收盘，</w:t>
      </w:r>
      <w:r w:rsidR="0024078C" w:rsidRPr="00CD1B68">
        <w:rPr>
          <w:rFonts w:asciiTheme="minorEastAsia" w:hAnsiTheme="minorEastAsia" w:hint="eastAsia"/>
        </w:rPr>
        <w:t>SBL52</w:t>
      </w:r>
      <w:r w:rsidR="0024078C" w:rsidRPr="00970916">
        <w:rPr>
          <w:rFonts w:hint="eastAsia"/>
        </w:rPr>
        <w:t>中国民企成分股</w:t>
      </w:r>
      <w:r w:rsidR="001F3172">
        <w:rPr>
          <w:rFonts w:hint="eastAsia"/>
        </w:rPr>
        <w:t>中前五大市值上市</w:t>
      </w:r>
      <w:r w:rsidR="0024078C">
        <w:rPr>
          <w:rFonts w:hint="eastAsia"/>
        </w:rPr>
        <w:t>公司为：</w:t>
      </w:r>
      <w:r w:rsidR="0024078C" w:rsidRPr="0024078C">
        <w:rPr>
          <w:rFonts w:hint="eastAsia"/>
        </w:rPr>
        <w:t>中国平安、</w:t>
      </w:r>
      <w:r w:rsidR="00F52CC7">
        <w:rPr>
          <w:rFonts w:hint="eastAsia"/>
        </w:rPr>
        <w:t>美的集团、长城汽车</w:t>
      </w:r>
      <w:r w:rsidR="0013650D">
        <w:rPr>
          <w:rFonts w:hint="eastAsia"/>
        </w:rPr>
        <w:t>、苏宁云商、康得新</w:t>
      </w:r>
      <w:r w:rsidR="0024078C">
        <w:rPr>
          <w:rFonts w:hint="eastAsia"/>
        </w:rPr>
        <w:t>。</w:t>
      </w:r>
    </w:p>
    <w:p w:rsidR="00546CFE" w:rsidRPr="00C06E13" w:rsidRDefault="00546CFE" w:rsidP="00546CFE">
      <w:pPr>
        <w:pStyle w:val="1"/>
        <w:spacing w:before="200" w:after="200" w:line="360" w:lineRule="auto"/>
      </w:pPr>
      <w:r w:rsidRPr="00C06E13">
        <w:rPr>
          <w:rFonts w:hint="eastAsia"/>
        </w:rPr>
        <w:t>三</w:t>
      </w:r>
      <w:r w:rsidRPr="00C06E13">
        <w:rPr>
          <w:rFonts w:hint="eastAsia"/>
        </w:rPr>
        <w:t>.</w:t>
      </w:r>
      <w:r w:rsidRPr="00C06E13">
        <w:rPr>
          <w:rFonts w:hint="eastAsia"/>
        </w:rPr>
        <w:t>相关性分析</w:t>
      </w:r>
      <w:bookmarkEnd w:id="2"/>
    </w:p>
    <w:p w:rsidR="006A1789" w:rsidRDefault="00546CFE" w:rsidP="00E311D9">
      <w:pPr>
        <w:ind w:firstLineChars="200" w:firstLine="420"/>
        <w:rPr>
          <w:rFonts w:asciiTheme="minorEastAsia" w:hAnsiTheme="minorEastAsia"/>
        </w:rPr>
      </w:pPr>
      <w:r w:rsidRPr="009E6E4D">
        <w:rPr>
          <w:rFonts w:asciiTheme="minorEastAsia" w:hAnsiTheme="minorEastAsia" w:hint="eastAsia"/>
        </w:rPr>
        <w:t>将SBL52中国民企成指、上证指数、深证成指、沪深300、中证民企200、深证民营指数的日涨跌数据进行相关性分析，结果</w:t>
      </w:r>
      <w:r w:rsidR="00E311D9">
        <w:rPr>
          <w:rFonts w:asciiTheme="minorEastAsia" w:hAnsiTheme="minorEastAsia" w:hint="eastAsia"/>
        </w:rPr>
        <w:t>表明</w:t>
      </w:r>
      <w:r w:rsidR="00E75C87" w:rsidRPr="009E6E4D">
        <w:rPr>
          <w:rFonts w:asciiTheme="minorEastAsia" w:hAnsiTheme="minorEastAsia" w:hint="eastAsia"/>
        </w:rPr>
        <w:t>：</w:t>
      </w:r>
    </w:p>
    <w:p w:rsidR="0013650D" w:rsidRDefault="00E311D9" w:rsidP="00E311D9">
      <w:pPr>
        <w:ind w:firstLineChars="200" w:firstLine="420"/>
        <w:rPr>
          <w:rFonts w:asciiTheme="minorEastAsia" w:hAnsiTheme="minorEastAsia"/>
        </w:rPr>
      </w:pPr>
      <w:r w:rsidRPr="009E6E4D">
        <w:rPr>
          <w:rFonts w:asciiTheme="minorEastAsia" w:hAnsiTheme="minorEastAsia" w:hint="eastAsia"/>
        </w:rPr>
        <w:t>本月SBL52中国民企指数与</w:t>
      </w:r>
      <w:r w:rsidR="0013650D">
        <w:rPr>
          <w:rFonts w:asciiTheme="minorEastAsia" w:hAnsiTheme="minorEastAsia" w:hint="eastAsia"/>
        </w:rPr>
        <w:t>各大指数相关性都比较</w:t>
      </w:r>
      <w:r w:rsidRPr="009E6E4D">
        <w:rPr>
          <w:rFonts w:asciiTheme="minorEastAsia" w:hAnsiTheme="minorEastAsia" w:hint="eastAsia"/>
        </w:rPr>
        <w:t>高，</w:t>
      </w:r>
      <w:r w:rsidR="0013650D">
        <w:rPr>
          <w:rFonts w:asciiTheme="minorEastAsia" w:hAnsiTheme="minorEastAsia" w:hint="eastAsia"/>
        </w:rPr>
        <w:t>都在0.98左右</w:t>
      </w:r>
      <w:r w:rsidRPr="009E6E4D">
        <w:rPr>
          <w:rFonts w:asciiTheme="minorEastAsia" w:hAnsiTheme="minorEastAsia" w:hint="eastAsia"/>
        </w:rPr>
        <w:t>；</w:t>
      </w:r>
      <w:r w:rsidR="0013650D">
        <w:rPr>
          <w:rFonts w:asciiTheme="minorEastAsia" w:hAnsiTheme="minorEastAsia" w:hint="eastAsia"/>
        </w:rPr>
        <w:t>其中</w:t>
      </w:r>
      <w:r w:rsidRPr="009E6E4D">
        <w:rPr>
          <w:rFonts w:asciiTheme="minorEastAsia" w:hAnsiTheme="minorEastAsia" w:hint="eastAsia"/>
        </w:rPr>
        <w:t>与</w:t>
      </w:r>
      <w:r w:rsidR="0013650D">
        <w:rPr>
          <w:rFonts w:asciiTheme="minorEastAsia" w:hAnsiTheme="minorEastAsia" w:hint="eastAsia"/>
        </w:rPr>
        <w:t>沪深300的相关性最高，达到0.98；与深圳民营相关性最低，为0.972。</w:t>
      </w:r>
    </w:p>
    <w:p w:rsidR="0024078C" w:rsidRPr="0024078C" w:rsidRDefault="0024078C" w:rsidP="00985CE6">
      <w:pPr>
        <w:spacing w:beforeLines="50"/>
        <w:ind w:firstLineChars="200" w:firstLine="422"/>
        <w:jc w:val="center"/>
        <w:rPr>
          <w:b/>
        </w:rPr>
      </w:pPr>
      <w:r w:rsidRPr="0024078C">
        <w:rPr>
          <w:rFonts w:hint="eastAsia"/>
          <w:b/>
        </w:rPr>
        <w:t>图表</w:t>
      </w:r>
      <w:r w:rsidR="00CD1B68">
        <w:rPr>
          <w:rFonts w:hint="eastAsia"/>
          <w:b/>
        </w:rPr>
        <w:t>5</w:t>
      </w:r>
      <w:r w:rsidRPr="0024078C">
        <w:rPr>
          <w:rFonts w:hint="eastAsia"/>
          <w:b/>
        </w:rPr>
        <w:t>：</w:t>
      </w:r>
      <w:r w:rsidRPr="0024078C">
        <w:rPr>
          <w:rFonts w:hint="eastAsia"/>
          <w:b/>
        </w:rPr>
        <w:t>SBL52</w:t>
      </w:r>
      <w:r w:rsidRPr="0024078C">
        <w:rPr>
          <w:rFonts w:hint="eastAsia"/>
          <w:b/>
        </w:rPr>
        <w:t>中国民企指数与其他指数相关性</w:t>
      </w:r>
    </w:p>
    <w:tbl>
      <w:tblPr>
        <w:tblW w:w="7720" w:type="dxa"/>
        <w:jc w:val="center"/>
        <w:tblInd w:w="103" w:type="dxa"/>
        <w:tblLook w:val="04A0"/>
      </w:tblPr>
      <w:tblGrid>
        <w:gridCol w:w="1388"/>
        <w:gridCol w:w="1174"/>
        <w:gridCol w:w="1178"/>
        <w:gridCol w:w="1200"/>
        <w:gridCol w:w="1540"/>
        <w:gridCol w:w="1240"/>
      </w:tblGrid>
      <w:tr w:rsidR="00E75C87" w:rsidRPr="00E75C87" w:rsidTr="0013650D">
        <w:trPr>
          <w:trHeight w:val="27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E75C87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E75C87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上证</w:t>
            </w:r>
            <w:r w:rsid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综指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E75C87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深证成指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2311FA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民企200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2311FA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深证民营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2311FA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沪深300</w:t>
            </w:r>
          </w:p>
        </w:tc>
      </w:tr>
      <w:tr w:rsidR="0013650D" w:rsidRPr="00E75C87" w:rsidTr="0013650D">
        <w:trPr>
          <w:trHeight w:val="27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50D" w:rsidRPr="00BC3450" w:rsidRDefault="0013650D" w:rsidP="00E75C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sbl52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0.979852251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0.97585373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0.979021737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0.972101471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0.98030012</w:t>
            </w:r>
          </w:p>
        </w:tc>
      </w:tr>
    </w:tbl>
    <w:p w:rsidR="00546CFE" w:rsidRDefault="00546CFE" w:rsidP="00546CFE">
      <w:pPr>
        <w:pStyle w:val="1"/>
        <w:spacing w:before="200" w:after="200" w:line="360" w:lineRule="auto"/>
      </w:pPr>
      <w:bookmarkStart w:id="3" w:name="_Toc424829046"/>
      <w:r>
        <w:rPr>
          <w:rFonts w:hint="eastAsia"/>
        </w:rPr>
        <w:t>四</w:t>
      </w:r>
      <w:r>
        <w:rPr>
          <w:rFonts w:hint="eastAsia"/>
        </w:rPr>
        <w:t>.</w:t>
      </w:r>
      <w:r>
        <w:rPr>
          <w:rFonts w:hint="eastAsia"/>
        </w:rPr>
        <w:t>风险收益特征分析</w:t>
      </w:r>
      <w:bookmarkEnd w:id="3"/>
    </w:p>
    <w:p w:rsidR="0024078C" w:rsidRPr="009E6E4D" w:rsidRDefault="00546CFE" w:rsidP="00A77593">
      <w:pPr>
        <w:spacing w:line="360" w:lineRule="auto"/>
        <w:ind w:firstLineChars="200" w:firstLine="420"/>
        <w:rPr>
          <w:rFonts w:asciiTheme="minorEastAsia" w:hAnsiTheme="minorEastAsia"/>
        </w:rPr>
      </w:pPr>
      <w:r w:rsidRPr="009E6E4D">
        <w:rPr>
          <w:rFonts w:asciiTheme="minorEastAsia" w:hAnsiTheme="minorEastAsia" w:hint="eastAsia"/>
        </w:rPr>
        <w:t>风险收益特征是衡量一个指数化投资优劣性的最为重要的方面，下面我们通过各指数201</w:t>
      </w:r>
      <w:r w:rsidR="004F2717">
        <w:rPr>
          <w:rFonts w:asciiTheme="minorEastAsia" w:hAnsiTheme="minorEastAsia" w:hint="eastAsia"/>
        </w:rPr>
        <w:t>6</w:t>
      </w:r>
      <w:r w:rsidRPr="009E6E4D">
        <w:rPr>
          <w:rFonts w:asciiTheme="minorEastAsia" w:hAnsiTheme="minorEastAsia" w:hint="eastAsia"/>
        </w:rPr>
        <w:t>年</w:t>
      </w:r>
      <w:r w:rsidR="0013650D">
        <w:rPr>
          <w:rFonts w:asciiTheme="minorEastAsia" w:hAnsiTheme="minorEastAsia" w:hint="eastAsia"/>
        </w:rPr>
        <w:t>8</w:t>
      </w:r>
      <w:r w:rsidRPr="009E6E4D">
        <w:rPr>
          <w:rFonts w:asciiTheme="minorEastAsia" w:hAnsiTheme="minorEastAsia" w:hint="eastAsia"/>
        </w:rPr>
        <w:t>月份</w:t>
      </w:r>
      <w:r w:rsidR="0024078C" w:rsidRPr="009E6E4D">
        <w:rPr>
          <w:rFonts w:asciiTheme="minorEastAsia" w:hAnsiTheme="minorEastAsia" w:hint="eastAsia"/>
        </w:rPr>
        <w:t>波动率、β系数、夏普指数、詹森指数评价指标。</w:t>
      </w:r>
    </w:p>
    <w:p w:rsidR="00A77593" w:rsidRPr="009E6E4D" w:rsidRDefault="00546CFE" w:rsidP="00A77593">
      <w:pPr>
        <w:spacing w:line="360" w:lineRule="auto"/>
        <w:ind w:firstLineChars="200" w:firstLine="420"/>
        <w:rPr>
          <w:rFonts w:asciiTheme="minorEastAsia" w:hAnsiTheme="minorEastAsia"/>
        </w:rPr>
      </w:pPr>
      <w:r w:rsidRPr="009E6E4D">
        <w:rPr>
          <w:rFonts w:asciiTheme="minorEastAsia" w:hAnsiTheme="minorEastAsia" w:hint="eastAsia"/>
        </w:rPr>
        <w:t>β系数的基准指数为沪深300指数</w:t>
      </w:r>
      <w:r w:rsidR="0024078C" w:rsidRPr="009E6E4D">
        <w:rPr>
          <w:rFonts w:asciiTheme="minorEastAsia" w:hAnsiTheme="minorEastAsia" w:hint="eastAsia"/>
        </w:rPr>
        <w:t>，</w:t>
      </w:r>
      <w:r w:rsidR="00A77593" w:rsidRPr="009E6E4D">
        <w:rPr>
          <w:rFonts w:asciiTheme="minorEastAsia" w:hAnsiTheme="minorEastAsia" w:cs="Times New Roman" w:hint="eastAsia"/>
          <w:szCs w:val="20"/>
        </w:rPr>
        <w:t>无风险利率取样本时段区间内一年期</w:t>
      </w:r>
      <w:r w:rsidR="00A77593" w:rsidRPr="009E6E4D">
        <w:rPr>
          <w:rFonts w:asciiTheme="minorEastAsia" w:hAnsiTheme="minorEastAsia" w:hint="eastAsia"/>
          <w:szCs w:val="20"/>
        </w:rPr>
        <w:t>贷</w:t>
      </w:r>
      <w:r w:rsidR="00A77593" w:rsidRPr="009E6E4D">
        <w:rPr>
          <w:rFonts w:asciiTheme="minorEastAsia" w:hAnsiTheme="minorEastAsia" w:cs="Times New Roman" w:hint="eastAsia"/>
          <w:szCs w:val="20"/>
        </w:rPr>
        <w:t>款利率——</w:t>
      </w:r>
      <w:r w:rsidR="00DE251E">
        <w:rPr>
          <w:rFonts w:asciiTheme="minorEastAsia" w:hAnsiTheme="minorEastAsia" w:hint="eastAsia"/>
          <w:szCs w:val="20"/>
        </w:rPr>
        <w:t>2.0</w:t>
      </w:r>
      <w:r w:rsidR="00A77593" w:rsidRPr="009E6E4D">
        <w:rPr>
          <w:rFonts w:asciiTheme="minorEastAsia" w:hAnsiTheme="minorEastAsia" w:cs="Times New Roman" w:hint="eastAsia"/>
          <w:szCs w:val="20"/>
        </w:rPr>
        <w:t>%</w:t>
      </w:r>
      <w:r w:rsidR="00A77593" w:rsidRPr="009E6E4D">
        <w:rPr>
          <w:rFonts w:asciiTheme="minorEastAsia" w:hAnsiTheme="minorEastAsia" w:hint="eastAsia"/>
        </w:rPr>
        <w:t>，</w:t>
      </w:r>
      <w:r w:rsidR="0024078C" w:rsidRPr="009E6E4D">
        <w:rPr>
          <w:rFonts w:asciiTheme="minorEastAsia" w:hAnsiTheme="minorEastAsia" w:hint="eastAsia"/>
        </w:rPr>
        <w:t>计算</w:t>
      </w:r>
      <w:r w:rsidR="00A77593" w:rsidRPr="009E6E4D">
        <w:rPr>
          <w:rFonts w:asciiTheme="minorEastAsia" w:hAnsiTheme="minorEastAsia" w:hint="eastAsia"/>
        </w:rPr>
        <w:t>结果如下：</w:t>
      </w:r>
    </w:p>
    <w:tbl>
      <w:tblPr>
        <w:tblW w:w="8540" w:type="dxa"/>
        <w:tblInd w:w="91" w:type="dxa"/>
        <w:tblLook w:val="04A0"/>
      </w:tblPr>
      <w:tblGrid>
        <w:gridCol w:w="1281"/>
        <w:gridCol w:w="1157"/>
        <w:gridCol w:w="1157"/>
        <w:gridCol w:w="1157"/>
        <w:gridCol w:w="1474"/>
        <w:gridCol w:w="1157"/>
        <w:gridCol w:w="1157"/>
      </w:tblGrid>
      <w:tr w:rsidR="000208C5" w:rsidRPr="000208C5" w:rsidTr="000208C5">
        <w:trPr>
          <w:trHeight w:val="285"/>
        </w:trPr>
        <w:tc>
          <w:tcPr>
            <w:tcW w:w="8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8C5" w:rsidRPr="000208C5" w:rsidRDefault="000208C5" w:rsidP="00136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2016年</w:t>
            </w:r>
            <w:r w:rsidR="0013650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月各指数风险收益特征</w:t>
            </w:r>
          </w:p>
        </w:tc>
      </w:tr>
      <w:tr w:rsidR="000208C5" w:rsidRPr="000208C5" w:rsidTr="000208C5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08C5" w:rsidRPr="000208C5" w:rsidRDefault="000208C5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08C5" w:rsidRPr="000208C5" w:rsidRDefault="000208C5" w:rsidP="000208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民企成指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08C5" w:rsidRPr="000208C5" w:rsidRDefault="000208C5" w:rsidP="000208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上证综指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08C5" w:rsidRPr="000208C5" w:rsidRDefault="000208C5" w:rsidP="000208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深证成指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08C5" w:rsidRPr="000208C5" w:rsidRDefault="000208C5" w:rsidP="000208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中证民企200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08C5" w:rsidRPr="000208C5" w:rsidRDefault="000208C5" w:rsidP="000208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深证民营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208C5" w:rsidRPr="000208C5" w:rsidRDefault="000208C5" w:rsidP="000208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沪深300</w:t>
            </w:r>
          </w:p>
        </w:tc>
      </w:tr>
      <w:tr w:rsidR="0013650D" w:rsidRPr="000208C5" w:rsidTr="000208C5">
        <w:trPr>
          <w:trHeight w:val="345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Pr="000208C5" w:rsidRDefault="0013650D" w:rsidP="000208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平均回报率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0.001347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0.001904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0.002380 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0.001773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0.002128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0.002021 </w:t>
            </w:r>
          </w:p>
        </w:tc>
      </w:tr>
      <w:tr w:rsidR="0013650D" w:rsidRPr="000208C5" w:rsidTr="000208C5">
        <w:trPr>
          <w:trHeight w:val="315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650D" w:rsidRPr="000208C5" w:rsidRDefault="0013650D" w:rsidP="000208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波动率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650D" w:rsidRDefault="0013650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22.3095%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650D" w:rsidRDefault="0013650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24.2808%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650D" w:rsidRDefault="0013650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28.9349%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650D" w:rsidRDefault="0013650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22.3451%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650D" w:rsidRDefault="0013650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26.2079%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3650D" w:rsidRDefault="0013650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28.4464%</w:t>
            </w:r>
          </w:p>
        </w:tc>
      </w:tr>
      <w:tr w:rsidR="0013650D" w:rsidRPr="000208C5" w:rsidTr="000208C5">
        <w:trPr>
          <w:trHeight w:val="330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Pr="000208C5" w:rsidRDefault="0013650D" w:rsidP="000208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贝塔系数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0.747761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0.839043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0.700648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0.845379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0.809369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1.000000 </w:t>
            </w:r>
          </w:p>
        </w:tc>
      </w:tr>
      <w:tr w:rsidR="0013650D" w:rsidRPr="000208C5" w:rsidTr="000208C5">
        <w:trPr>
          <w:trHeight w:val="360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650D" w:rsidRPr="000208C5" w:rsidRDefault="0013650D" w:rsidP="000208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夏普指数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0.091567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0.120423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0.127049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0.121574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0.125044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0.109263 </w:t>
            </w:r>
          </w:p>
        </w:tc>
      </w:tr>
      <w:tr w:rsidR="0013650D" w:rsidRPr="000208C5" w:rsidTr="000208C5">
        <w:trPr>
          <w:trHeight w:val="345"/>
        </w:trPr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Pr="000208C5" w:rsidRDefault="0013650D" w:rsidP="000208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詹森指数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-0.000178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0.000200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0.000381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0.000183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0.000320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50D" w:rsidRDefault="0013650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0.000000 </w:t>
            </w:r>
          </w:p>
        </w:tc>
      </w:tr>
    </w:tbl>
    <w:p w:rsidR="00370B0B" w:rsidRPr="003233B2" w:rsidRDefault="003233B2" w:rsidP="005E7975">
      <w:pPr>
        <w:spacing w:line="360" w:lineRule="auto"/>
        <w:ind w:firstLineChars="200" w:firstLine="420"/>
      </w:pPr>
      <w:r>
        <w:rPr>
          <w:rFonts w:hint="eastAsia"/>
        </w:rPr>
        <w:t>本月双保良</w:t>
      </w:r>
      <w:r>
        <w:rPr>
          <w:rFonts w:hint="eastAsia"/>
        </w:rPr>
        <w:t>52</w:t>
      </w:r>
      <w:r>
        <w:rPr>
          <w:rFonts w:hint="eastAsia"/>
        </w:rPr>
        <w:t>中国民企成指平均日回报率</w:t>
      </w:r>
      <w:r w:rsidR="0013650D">
        <w:rPr>
          <w:rFonts w:hint="eastAsia"/>
          <w:szCs w:val="18"/>
        </w:rPr>
        <w:t>在</w:t>
      </w:r>
      <w:r>
        <w:rPr>
          <w:rFonts w:hint="eastAsia"/>
        </w:rPr>
        <w:t>其他几个指数</w:t>
      </w:r>
      <w:r w:rsidR="0013650D">
        <w:rPr>
          <w:rFonts w:hint="eastAsia"/>
        </w:rPr>
        <w:t>中是最低的</w:t>
      </w:r>
      <w:r>
        <w:rPr>
          <w:rFonts w:hint="eastAsia"/>
        </w:rPr>
        <w:t>，</w:t>
      </w:r>
      <w:r w:rsidR="0013650D">
        <w:rPr>
          <w:rFonts w:hint="eastAsia"/>
          <w:szCs w:val="18"/>
        </w:rPr>
        <w:t>涨幅不及其他指数，表现稍差</w:t>
      </w:r>
      <w:r w:rsidR="00370B0B">
        <w:rPr>
          <w:rFonts w:hint="eastAsia"/>
          <w:szCs w:val="18"/>
        </w:rPr>
        <w:t>。</w:t>
      </w:r>
    </w:p>
    <w:p w:rsidR="00370B0B" w:rsidRDefault="00370B0B" w:rsidP="00370B0B">
      <w:pPr>
        <w:spacing w:line="360" w:lineRule="auto"/>
        <w:ind w:firstLine="435"/>
      </w:pPr>
      <w:r>
        <w:rPr>
          <w:rFonts w:hint="eastAsia"/>
          <w:szCs w:val="18"/>
        </w:rPr>
        <w:t>从夏普指数</w:t>
      </w:r>
      <w:r w:rsidR="003233B2">
        <w:rPr>
          <w:rFonts w:hint="eastAsia"/>
          <w:szCs w:val="18"/>
        </w:rPr>
        <w:t>、</w:t>
      </w:r>
      <w:r w:rsidR="003233B2">
        <w:rPr>
          <w:rFonts w:hint="eastAsia"/>
        </w:rPr>
        <w:t>詹森指数</w:t>
      </w:r>
      <w:r w:rsidR="003233B2" w:rsidRPr="003233B2">
        <w:rPr>
          <w:rFonts w:hint="eastAsia"/>
        </w:rPr>
        <w:t>、特雷诺</w:t>
      </w:r>
      <w:r w:rsidR="003233B2">
        <w:rPr>
          <w:rFonts w:hint="eastAsia"/>
        </w:rPr>
        <w:t>指数等基金收益衡量指标</w:t>
      </w:r>
      <w:r w:rsidR="003233B2" w:rsidRPr="003233B2">
        <w:rPr>
          <w:rFonts w:hint="eastAsia"/>
        </w:rPr>
        <w:t>来</w:t>
      </w:r>
      <w:r w:rsidRPr="003233B2">
        <w:rPr>
          <w:rFonts w:hint="eastAsia"/>
        </w:rPr>
        <w:t>看，</w:t>
      </w:r>
      <w:r w:rsidRPr="00DB1144">
        <w:rPr>
          <w:rFonts w:hint="eastAsia"/>
        </w:rPr>
        <w:t xml:space="preserve"> </w:t>
      </w:r>
      <w:r w:rsidR="0013650D">
        <w:rPr>
          <w:rFonts w:hint="eastAsia"/>
        </w:rPr>
        <w:t>本月</w:t>
      </w:r>
      <w:r w:rsidRPr="00DB1144">
        <w:rPr>
          <w:rFonts w:hint="eastAsia"/>
        </w:rPr>
        <w:t>SBL52</w:t>
      </w:r>
      <w:r w:rsidRPr="00DB1144">
        <w:rPr>
          <w:rFonts w:hint="eastAsia"/>
        </w:rPr>
        <w:t>民企</w:t>
      </w:r>
      <w:r w:rsidR="0013650D">
        <w:rPr>
          <w:rFonts w:hint="eastAsia"/>
        </w:rPr>
        <w:t>指数也劣于上证综指、深证成指、</w:t>
      </w:r>
      <w:r>
        <w:rPr>
          <w:rFonts w:hint="eastAsia"/>
        </w:rPr>
        <w:t>深证民营、沪深</w:t>
      </w:r>
      <w:r>
        <w:rPr>
          <w:rFonts w:hint="eastAsia"/>
        </w:rPr>
        <w:t>300</w:t>
      </w:r>
      <w:r>
        <w:rPr>
          <w:rFonts w:hint="eastAsia"/>
        </w:rPr>
        <w:t>这五个指数</w:t>
      </w:r>
      <w:r w:rsidR="003233B2">
        <w:rPr>
          <w:rFonts w:hint="eastAsia"/>
        </w:rPr>
        <w:t>，风险管理能力</w:t>
      </w:r>
      <w:r w:rsidR="0013650D">
        <w:rPr>
          <w:rFonts w:hint="eastAsia"/>
        </w:rPr>
        <w:t>方面也表现不足</w:t>
      </w:r>
      <w:r>
        <w:rPr>
          <w:rFonts w:hint="eastAsia"/>
        </w:rPr>
        <w:t>。</w:t>
      </w:r>
    </w:p>
    <w:p w:rsidR="00E92E94" w:rsidRPr="00C10FCC" w:rsidRDefault="00E92E94" w:rsidP="00A77593">
      <w:pPr>
        <w:ind w:firstLineChars="200" w:firstLine="420"/>
      </w:pPr>
    </w:p>
    <w:sectPr w:rsidR="00E92E94" w:rsidRPr="00C10FCC" w:rsidSect="00C44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D7" w:rsidRDefault="006408D7" w:rsidP="00546CFE">
      <w:r>
        <w:separator/>
      </w:r>
    </w:p>
  </w:endnote>
  <w:endnote w:type="continuationSeparator" w:id="1">
    <w:p w:rsidR="006408D7" w:rsidRDefault="006408D7" w:rsidP="0054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D7" w:rsidRDefault="006408D7" w:rsidP="00546CFE">
      <w:r>
        <w:separator/>
      </w:r>
    </w:p>
  </w:footnote>
  <w:footnote w:type="continuationSeparator" w:id="1">
    <w:p w:rsidR="006408D7" w:rsidRDefault="006408D7" w:rsidP="00546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CFE"/>
    <w:rsid w:val="000208C5"/>
    <w:rsid w:val="00070604"/>
    <w:rsid w:val="00076231"/>
    <w:rsid w:val="00093066"/>
    <w:rsid w:val="0013650D"/>
    <w:rsid w:val="00147A68"/>
    <w:rsid w:val="001B14E6"/>
    <w:rsid w:val="001D3CBD"/>
    <w:rsid w:val="001F3172"/>
    <w:rsid w:val="002217D6"/>
    <w:rsid w:val="002311FA"/>
    <w:rsid w:val="0024078C"/>
    <w:rsid w:val="00282840"/>
    <w:rsid w:val="002B04CB"/>
    <w:rsid w:val="002C3BFA"/>
    <w:rsid w:val="00302A81"/>
    <w:rsid w:val="00307ECB"/>
    <w:rsid w:val="003233B2"/>
    <w:rsid w:val="003553D4"/>
    <w:rsid w:val="00361088"/>
    <w:rsid w:val="00370B0B"/>
    <w:rsid w:val="003C0C0B"/>
    <w:rsid w:val="003D41D8"/>
    <w:rsid w:val="003E537E"/>
    <w:rsid w:val="00423C4B"/>
    <w:rsid w:val="00427CDC"/>
    <w:rsid w:val="00431574"/>
    <w:rsid w:val="00445CDE"/>
    <w:rsid w:val="00464046"/>
    <w:rsid w:val="00495498"/>
    <w:rsid w:val="004E2255"/>
    <w:rsid w:val="004E3006"/>
    <w:rsid w:val="004F2717"/>
    <w:rsid w:val="005448FC"/>
    <w:rsid w:val="00546CFE"/>
    <w:rsid w:val="00590974"/>
    <w:rsid w:val="00592235"/>
    <w:rsid w:val="005B5947"/>
    <w:rsid w:val="005E7975"/>
    <w:rsid w:val="006408D7"/>
    <w:rsid w:val="00641A9A"/>
    <w:rsid w:val="006A1789"/>
    <w:rsid w:val="006B0845"/>
    <w:rsid w:val="006D2375"/>
    <w:rsid w:val="006F005A"/>
    <w:rsid w:val="00710EFE"/>
    <w:rsid w:val="007C777E"/>
    <w:rsid w:val="007F02E9"/>
    <w:rsid w:val="0085664A"/>
    <w:rsid w:val="00866A1E"/>
    <w:rsid w:val="008E3292"/>
    <w:rsid w:val="009300DB"/>
    <w:rsid w:val="00957C7E"/>
    <w:rsid w:val="009802EA"/>
    <w:rsid w:val="00985CE6"/>
    <w:rsid w:val="009A2E50"/>
    <w:rsid w:val="009A5F69"/>
    <w:rsid w:val="009E6E4D"/>
    <w:rsid w:val="00A01623"/>
    <w:rsid w:val="00A323CD"/>
    <w:rsid w:val="00A60779"/>
    <w:rsid w:val="00A60934"/>
    <w:rsid w:val="00A77593"/>
    <w:rsid w:val="00AA53B3"/>
    <w:rsid w:val="00B24E6A"/>
    <w:rsid w:val="00B57E8D"/>
    <w:rsid w:val="00BA52E8"/>
    <w:rsid w:val="00BB6E5C"/>
    <w:rsid w:val="00BC3450"/>
    <w:rsid w:val="00BE4251"/>
    <w:rsid w:val="00BF7FAF"/>
    <w:rsid w:val="00C06E13"/>
    <w:rsid w:val="00C10FCC"/>
    <w:rsid w:val="00C13E88"/>
    <w:rsid w:val="00C36A94"/>
    <w:rsid w:val="00C4404E"/>
    <w:rsid w:val="00CA3B03"/>
    <w:rsid w:val="00CB1AC3"/>
    <w:rsid w:val="00CB74D6"/>
    <w:rsid w:val="00CC24EB"/>
    <w:rsid w:val="00CD1B68"/>
    <w:rsid w:val="00CD3265"/>
    <w:rsid w:val="00CE388E"/>
    <w:rsid w:val="00CF4A31"/>
    <w:rsid w:val="00D077CD"/>
    <w:rsid w:val="00D22DBE"/>
    <w:rsid w:val="00D36CD6"/>
    <w:rsid w:val="00D82C3E"/>
    <w:rsid w:val="00DE251E"/>
    <w:rsid w:val="00E311D9"/>
    <w:rsid w:val="00E75C87"/>
    <w:rsid w:val="00E92E94"/>
    <w:rsid w:val="00EA192F"/>
    <w:rsid w:val="00EA50F1"/>
    <w:rsid w:val="00F009B3"/>
    <w:rsid w:val="00F52CC7"/>
    <w:rsid w:val="00F568AC"/>
    <w:rsid w:val="00F73E9F"/>
    <w:rsid w:val="00FA79D8"/>
    <w:rsid w:val="00FB55B0"/>
    <w:rsid w:val="00FC4B64"/>
    <w:rsid w:val="00FD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6CFE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C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C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6CFE"/>
    <w:rPr>
      <w:b/>
      <w:bCs/>
      <w:kern w:val="44"/>
      <w:sz w:val="24"/>
      <w:szCs w:val="44"/>
    </w:rPr>
  </w:style>
  <w:style w:type="table" w:styleId="a5">
    <w:name w:val="Table Grid"/>
    <w:basedOn w:val="a1"/>
    <w:uiPriority w:val="59"/>
    <w:rsid w:val="00546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E53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53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5237;&#36164;&#36890;&#35759;\201608&#25237;&#36164;&#36890;&#35759;\&#30456;&#20851;&#20844;&#24335;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5237;&#36164;&#36890;&#35759;\201608&#25237;&#36164;&#36890;&#35759;\&#30456;&#20851;&#20844;&#24335;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0"/>
          <c:order val="0"/>
          <c:tx>
            <c:strRef>
              <c:f>涨跌幅与相关性!$K$3</c:f>
              <c:strCache>
                <c:ptCount val="1"/>
                <c:pt idx="0">
                  <c:v>民企成指</c:v>
                </c:pt>
              </c:strCache>
            </c:strRef>
          </c:tx>
          <c:marker>
            <c:symbol val="none"/>
          </c:marker>
          <c:val>
            <c:numRef>
              <c:f>涨跌幅与相关性!$K$4:$K$24</c:f>
              <c:numCache>
                <c:formatCode>General</c:formatCode>
                <c:ptCount val="21"/>
                <c:pt idx="0">
                  <c:v>0</c:v>
                </c:pt>
                <c:pt idx="1">
                  <c:v>-1.1823572357057683E-2</c:v>
                </c:pt>
                <c:pt idx="2">
                  <c:v>-7.1760537046601323E-3</c:v>
                </c:pt>
                <c:pt idx="3">
                  <c:v>-6.7486956676580112E-3</c:v>
                </c:pt>
                <c:pt idx="4">
                  <c:v>-3.8996420876441507E-3</c:v>
                </c:pt>
                <c:pt idx="5">
                  <c:v>-8.5471607400417985E-3</c:v>
                </c:pt>
                <c:pt idx="6">
                  <c:v>4.8077779162736305E-4</c:v>
                </c:pt>
                <c:pt idx="7">
                  <c:v>7.2650866290353555E-3</c:v>
                </c:pt>
                <c:pt idx="8">
                  <c:v>1.8518848270090427E-3</c:v>
                </c:pt>
                <c:pt idx="9">
                  <c:v>-4.3982264641464494E-3</c:v>
                </c:pt>
                <c:pt idx="10">
                  <c:v>3.9352552573941341E-3</c:v>
                </c:pt>
                <c:pt idx="11">
                  <c:v>3.5826848768674611E-2</c:v>
                </c:pt>
                <c:pt idx="12">
                  <c:v>3.151765522890361E-2</c:v>
                </c:pt>
                <c:pt idx="13">
                  <c:v>3.3387346640787685E-2</c:v>
                </c:pt>
                <c:pt idx="14">
                  <c:v>3.4259869299666956E-2</c:v>
                </c:pt>
                <c:pt idx="15">
                  <c:v>3.301340835841083E-2</c:v>
                </c:pt>
                <c:pt idx="16">
                  <c:v>2.5641482220124998E-2</c:v>
                </c:pt>
                <c:pt idx="17">
                  <c:v>2.9202799195142237E-2</c:v>
                </c:pt>
                <c:pt idx="18">
                  <c:v>2.4875799070496207E-2</c:v>
                </c:pt>
                <c:pt idx="19">
                  <c:v>1.6934062216207534E-2</c:v>
                </c:pt>
                <c:pt idx="20">
                  <c:v>1.8269556081839122E-2</c:v>
                </c:pt>
              </c:numCache>
            </c:numRef>
          </c:val>
        </c:ser>
        <c:ser>
          <c:idx val="1"/>
          <c:order val="1"/>
          <c:tx>
            <c:strRef>
              <c:f>涨跌幅与相关性!$L$3</c:f>
              <c:strCache>
                <c:ptCount val="1"/>
                <c:pt idx="0">
                  <c:v>上证综指</c:v>
                </c:pt>
              </c:strCache>
            </c:strRef>
          </c:tx>
          <c:marker>
            <c:symbol val="none"/>
          </c:marker>
          <c:val>
            <c:numRef>
              <c:f>涨跌幅与相关性!$L$4:$L$24</c:f>
              <c:numCache>
                <c:formatCode>General</c:formatCode>
                <c:ptCount val="21"/>
                <c:pt idx="0">
                  <c:v>0</c:v>
                </c:pt>
                <c:pt idx="1">
                  <c:v>-8.709982747856955E-3</c:v>
                </c:pt>
                <c:pt idx="2">
                  <c:v>-2.7052971463478208E-3</c:v>
                </c:pt>
                <c:pt idx="3">
                  <c:v>-2.95367430370508E-4</c:v>
                </c:pt>
                <c:pt idx="4">
                  <c:v>1.0371424543689229E-3</c:v>
                </c:pt>
                <c:pt idx="5">
                  <c:v>-8.8610229111152458E-4</c:v>
                </c:pt>
                <c:pt idx="6">
                  <c:v>8.3709814925454571E-3</c:v>
                </c:pt>
                <c:pt idx="7">
                  <c:v>1.555378036746392E-2</c:v>
                </c:pt>
                <c:pt idx="8">
                  <c:v>1.3227761853296327E-2</c:v>
                </c:pt>
                <c:pt idx="9">
                  <c:v>7.8205240086730576E-3</c:v>
                </c:pt>
                <c:pt idx="10">
                  <c:v>2.3941544100371196E-2</c:v>
                </c:pt>
                <c:pt idx="11">
                  <c:v>4.8957151583907788E-2</c:v>
                </c:pt>
                <c:pt idx="12">
                  <c:v>4.3868776306161587E-2</c:v>
                </c:pt>
                <c:pt idx="13">
                  <c:v>4.3704310350614513E-2</c:v>
                </c:pt>
                <c:pt idx="14">
                  <c:v>4.1878402599233373E-2</c:v>
                </c:pt>
                <c:pt idx="15">
                  <c:v>4.3217625380117773E-2</c:v>
                </c:pt>
                <c:pt idx="16">
                  <c:v>3.5397101371444695E-2</c:v>
                </c:pt>
                <c:pt idx="17">
                  <c:v>3.7045117374989091E-2</c:v>
                </c:pt>
                <c:pt idx="18">
                  <c:v>3.5759597763262992E-2</c:v>
                </c:pt>
                <c:pt idx="19">
                  <c:v>2.986903139621511E-2</c:v>
                </c:pt>
                <c:pt idx="20">
                  <c:v>3.0533608114548874E-2</c:v>
                </c:pt>
              </c:numCache>
            </c:numRef>
          </c:val>
        </c:ser>
        <c:ser>
          <c:idx val="2"/>
          <c:order val="2"/>
          <c:tx>
            <c:strRef>
              <c:f>涨跌幅与相关性!$M$3</c:f>
              <c:strCache>
                <c:ptCount val="1"/>
                <c:pt idx="0">
                  <c:v>深证成指</c:v>
                </c:pt>
              </c:strCache>
            </c:strRef>
          </c:tx>
          <c:marker>
            <c:symbol val="none"/>
          </c:marker>
          <c:val>
            <c:numRef>
              <c:f>涨跌幅与相关性!$M$4:$M$24</c:f>
              <c:numCache>
                <c:formatCode>General</c:formatCode>
                <c:ptCount val="21"/>
                <c:pt idx="0">
                  <c:v>0</c:v>
                </c:pt>
                <c:pt idx="1">
                  <c:v>-1.3935909338656741E-2</c:v>
                </c:pt>
                <c:pt idx="2">
                  <c:v>-7.6374010957042139E-3</c:v>
                </c:pt>
                <c:pt idx="3">
                  <c:v>-4.6643425629487867E-3</c:v>
                </c:pt>
                <c:pt idx="4">
                  <c:v>3.5887749856478046E-3</c:v>
                </c:pt>
                <c:pt idx="5">
                  <c:v>1.2440183049791118E-3</c:v>
                </c:pt>
                <c:pt idx="6">
                  <c:v>1.3500260905006337E-2</c:v>
                </c:pt>
                <c:pt idx="7">
                  <c:v>2.2784413079908642E-2</c:v>
                </c:pt>
                <c:pt idx="8">
                  <c:v>1.7593419966058121E-2</c:v>
                </c:pt>
                <c:pt idx="9">
                  <c:v>5.9567662494444144E-3</c:v>
                </c:pt>
                <c:pt idx="10">
                  <c:v>1.9233394291843901E-2</c:v>
                </c:pt>
                <c:pt idx="11">
                  <c:v>4.7696726731291141E-2</c:v>
                </c:pt>
                <c:pt idx="12">
                  <c:v>5.3586693554242684E-2</c:v>
                </c:pt>
                <c:pt idx="13">
                  <c:v>5.4336008860121084E-2</c:v>
                </c:pt>
                <c:pt idx="14">
                  <c:v>5.3223653192867371E-2</c:v>
                </c:pt>
                <c:pt idx="15">
                  <c:v>5.2595351340780673E-2</c:v>
                </c:pt>
                <c:pt idx="16">
                  <c:v>3.8915022416532219E-2</c:v>
                </c:pt>
                <c:pt idx="17">
                  <c:v>4.0743777730233105E-2</c:v>
                </c:pt>
                <c:pt idx="18">
                  <c:v>4.1726406975021883E-2</c:v>
                </c:pt>
                <c:pt idx="19">
                  <c:v>3.3856660048037439E-2</c:v>
                </c:pt>
                <c:pt idx="20">
                  <c:v>3.5270097188325106E-2</c:v>
                </c:pt>
              </c:numCache>
            </c:numRef>
          </c:val>
        </c:ser>
        <c:ser>
          <c:idx val="5"/>
          <c:order val="3"/>
          <c:tx>
            <c:strRef>
              <c:f>涨跌幅与相关性!$P$3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val>
            <c:numRef>
              <c:f>涨跌幅与相关性!$P$4:$P$24</c:f>
              <c:numCache>
                <c:formatCode>General</c:formatCode>
                <c:ptCount val="21"/>
                <c:pt idx="0">
                  <c:v>0</c:v>
                </c:pt>
                <c:pt idx="1">
                  <c:v>-8.4646044077118024E-3</c:v>
                </c:pt>
                <c:pt idx="2">
                  <c:v>-4.6442962237001088E-3</c:v>
                </c:pt>
                <c:pt idx="3">
                  <c:v>-3.2522558233168963E-3</c:v>
                </c:pt>
                <c:pt idx="4">
                  <c:v>-8.2398803968875055E-4</c:v>
                </c:pt>
                <c:pt idx="5">
                  <c:v>3.6829768440638255E-4</c:v>
                </c:pt>
                <c:pt idx="6">
                  <c:v>9.4415296214336308E-3</c:v>
                </c:pt>
                <c:pt idx="7">
                  <c:v>1.655778996420022E-2</c:v>
                </c:pt>
                <c:pt idx="8">
                  <c:v>1.2300518425808487E-2</c:v>
                </c:pt>
                <c:pt idx="9">
                  <c:v>9.1855939424394569E-3</c:v>
                </c:pt>
                <c:pt idx="10">
                  <c:v>2.8184136357535902E-2</c:v>
                </c:pt>
                <c:pt idx="11">
                  <c:v>5.914299001538751E-2</c:v>
                </c:pt>
                <c:pt idx="12">
                  <c:v>5.4408179953994183E-2</c:v>
                </c:pt>
                <c:pt idx="13">
                  <c:v>5.2785173209152672E-2</c:v>
                </c:pt>
                <c:pt idx="14">
                  <c:v>5.0113454413798032E-2</c:v>
                </c:pt>
                <c:pt idx="15">
                  <c:v>5.0278876255099164E-2</c:v>
                </c:pt>
                <c:pt idx="16">
                  <c:v>4.1467822330700115E-2</c:v>
                </c:pt>
                <c:pt idx="17">
                  <c:v>4.3040890406469606E-2</c:v>
                </c:pt>
                <c:pt idx="18">
                  <c:v>3.9304853726517271E-2</c:v>
                </c:pt>
                <c:pt idx="19">
                  <c:v>3.278473624579803E-2</c:v>
                </c:pt>
                <c:pt idx="20">
                  <c:v>3.2197956884201691E-2</c:v>
                </c:pt>
              </c:numCache>
            </c:numRef>
          </c:val>
        </c:ser>
        <c:marker val="1"/>
        <c:axId val="31810688"/>
        <c:axId val="31814016"/>
      </c:lineChart>
      <c:catAx>
        <c:axId val="31810688"/>
        <c:scaling>
          <c:orientation val="minMax"/>
        </c:scaling>
        <c:delete val="1"/>
        <c:axPos val="b"/>
        <c:tickLblPos val="nextTo"/>
        <c:crossAx val="31814016"/>
        <c:crosses val="autoZero"/>
        <c:auto val="1"/>
        <c:lblAlgn val="ctr"/>
        <c:lblOffset val="100"/>
      </c:catAx>
      <c:valAx>
        <c:axId val="31814016"/>
        <c:scaling>
          <c:orientation val="minMax"/>
        </c:scaling>
        <c:axPos val="l"/>
        <c:majorGridlines/>
        <c:numFmt formatCode="0.00%" sourceLinked="0"/>
        <c:tickLblPos val="nextTo"/>
        <c:crossAx val="31810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0"/>
          <c:order val="0"/>
          <c:tx>
            <c:strRef>
              <c:f>涨跌幅与相关性!$K$3</c:f>
              <c:strCache>
                <c:ptCount val="1"/>
                <c:pt idx="0">
                  <c:v>民企成指</c:v>
                </c:pt>
              </c:strCache>
            </c:strRef>
          </c:tx>
          <c:marker>
            <c:symbol val="none"/>
          </c:marker>
          <c:cat>
            <c:numRef>
              <c:f>涨跌幅与相关性!$J$4:$J$24</c:f>
              <c:numCache>
                <c:formatCode>yyyy/m/d;@</c:formatCode>
                <c:ptCount val="21"/>
                <c:pt idx="0">
                  <c:v>42580</c:v>
                </c:pt>
                <c:pt idx="1">
                  <c:v>42583</c:v>
                </c:pt>
                <c:pt idx="2">
                  <c:v>42584</c:v>
                </c:pt>
                <c:pt idx="3">
                  <c:v>42585</c:v>
                </c:pt>
                <c:pt idx="4">
                  <c:v>42586</c:v>
                </c:pt>
                <c:pt idx="5">
                  <c:v>42587</c:v>
                </c:pt>
                <c:pt idx="6">
                  <c:v>42590</c:v>
                </c:pt>
                <c:pt idx="7">
                  <c:v>42591</c:v>
                </c:pt>
                <c:pt idx="8">
                  <c:v>42592</c:v>
                </c:pt>
                <c:pt idx="9">
                  <c:v>42593</c:v>
                </c:pt>
                <c:pt idx="10">
                  <c:v>42594</c:v>
                </c:pt>
                <c:pt idx="11">
                  <c:v>42597</c:v>
                </c:pt>
                <c:pt idx="12">
                  <c:v>42598</c:v>
                </c:pt>
                <c:pt idx="13">
                  <c:v>42599</c:v>
                </c:pt>
                <c:pt idx="14">
                  <c:v>42600</c:v>
                </c:pt>
                <c:pt idx="15">
                  <c:v>42601</c:v>
                </c:pt>
                <c:pt idx="16">
                  <c:v>42604</c:v>
                </c:pt>
                <c:pt idx="17">
                  <c:v>42605</c:v>
                </c:pt>
                <c:pt idx="18">
                  <c:v>42606</c:v>
                </c:pt>
                <c:pt idx="19">
                  <c:v>42607</c:v>
                </c:pt>
                <c:pt idx="20">
                  <c:v>42608</c:v>
                </c:pt>
              </c:numCache>
            </c:numRef>
          </c:cat>
          <c:val>
            <c:numRef>
              <c:f>涨跌幅与相关性!$K$4:$K$24</c:f>
              <c:numCache>
                <c:formatCode>General</c:formatCode>
                <c:ptCount val="21"/>
                <c:pt idx="0">
                  <c:v>0</c:v>
                </c:pt>
                <c:pt idx="1">
                  <c:v>-1.1823572357057683E-2</c:v>
                </c:pt>
                <c:pt idx="2">
                  <c:v>-7.1760537046601323E-3</c:v>
                </c:pt>
                <c:pt idx="3">
                  <c:v>-6.7486956676580112E-3</c:v>
                </c:pt>
                <c:pt idx="4">
                  <c:v>-3.8996420876441507E-3</c:v>
                </c:pt>
                <c:pt idx="5">
                  <c:v>-8.5471607400417985E-3</c:v>
                </c:pt>
                <c:pt idx="6">
                  <c:v>4.8077779162736305E-4</c:v>
                </c:pt>
                <c:pt idx="7">
                  <c:v>7.2650866290353555E-3</c:v>
                </c:pt>
                <c:pt idx="8">
                  <c:v>1.8518848270090427E-3</c:v>
                </c:pt>
                <c:pt idx="9">
                  <c:v>-4.3982264641464494E-3</c:v>
                </c:pt>
                <c:pt idx="10">
                  <c:v>3.9352552573941341E-3</c:v>
                </c:pt>
                <c:pt idx="11">
                  <c:v>3.5826848768674611E-2</c:v>
                </c:pt>
                <c:pt idx="12">
                  <c:v>3.151765522890361E-2</c:v>
                </c:pt>
                <c:pt idx="13">
                  <c:v>3.3387346640787685E-2</c:v>
                </c:pt>
                <c:pt idx="14">
                  <c:v>3.4259869299666956E-2</c:v>
                </c:pt>
                <c:pt idx="15">
                  <c:v>3.301340835841083E-2</c:v>
                </c:pt>
                <c:pt idx="16">
                  <c:v>2.5641482220124998E-2</c:v>
                </c:pt>
                <c:pt idx="17">
                  <c:v>2.9202799195142237E-2</c:v>
                </c:pt>
                <c:pt idx="18">
                  <c:v>2.4875799070496207E-2</c:v>
                </c:pt>
                <c:pt idx="19">
                  <c:v>1.6934062216207534E-2</c:v>
                </c:pt>
                <c:pt idx="20">
                  <c:v>1.8269556081839122E-2</c:v>
                </c:pt>
              </c:numCache>
            </c:numRef>
          </c:val>
        </c:ser>
        <c:ser>
          <c:idx val="3"/>
          <c:order val="1"/>
          <c:tx>
            <c:strRef>
              <c:f>涨跌幅与相关性!$N$3</c:f>
              <c:strCache>
                <c:ptCount val="1"/>
                <c:pt idx="0">
                  <c:v>民企200</c:v>
                </c:pt>
              </c:strCache>
            </c:strRef>
          </c:tx>
          <c:marker>
            <c:symbol val="none"/>
          </c:marker>
          <c:cat>
            <c:numRef>
              <c:f>涨跌幅与相关性!$J$4:$J$24</c:f>
              <c:numCache>
                <c:formatCode>yyyy/m/d;@</c:formatCode>
                <c:ptCount val="21"/>
                <c:pt idx="0">
                  <c:v>42580</c:v>
                </c:pt>
                <c:pt idx="1">
                  <c:v>42583</c:v>
                </c:pt>
                <c:pt idx="2">
                  <c:v>42584</c:v>
                </c:pt>
                <c:pt idx="3">
                  <c:v>42585</c:v>
                </c:pt>
                <c:pt idx="4">
                  <c:v>42586</c:v>
                </c:pt>
                <c:pt idx="5">
                  <c:v>42587</c:v>
                </c:pt>
                <c:pt idx="6">
                  <c:v>42590</c:v>
                </c:pt>
                <c:pt idx="7">
                  <c:v>42591</c:v>
                </c:pt>
                <c:pt idx="8">
                  <c:v>42592</c:v>
                </c:pt>
                <c:pt idx="9">
                  <c:v>42593</c:v>
                </c:pt>
                <c:pt idx="10">
                  <c:v>42594</c:v>
                </c:pt>
                <c:pt idx="11">
                  <c:v>42597</c:v>
                </c:pt>
                <c:pt idx="12">
                  <c:v>42598</c:v>
                </c:pt>
                <c:pt idx="13">
                  <c:v>42599</c:v>
                </c:pt>
                <c:pt idx="14">
                  <c:v>42600</c:v>
                </c:pt>
                <c:pt idx="15">
                  <c:v>42601</c:v>
                </c:pt>
                <c:pt idx="16">
                  <c:v>42604</c:v>
                </c:pt>
                <c:pt idx="17">
                  <c:v>42605</c:v>
                </c:pt>
                <c:pt idx="18">
                  <c:v>42606</c:v>
                </c:pt>
                <c:pt idx="19">
                  <c:v>42607</c:v>
                </c:pt>
                <c:pt idx="20">
                  <c:v>42608</c:v>
                </c:pt>
              </c:numCache>
            </c:numRef>
          </c:cat>
          <c:val>
            <c:numRef>
              <c:f>涨跌幅与相关性!$N$4:$N$24</c:f>
              <c:numCache>
                <c:formatCode>General</c:formatCode>
                <c:ptCount val="21"/>
                <c:pt idx="0">
                  <c:v>0</c:v>
                </c:pt>
                <c:pt idx="1">
                  <c:v>-1.2490613725023358E-2</c:v>
                </c:pt>
                <c:pt idx="2">
                  <c:v>-6.96568438917489E-3</c:v>
                </c:pt>
                <c:pt idx="3">
                  <c:v>-3.7300904134843784E-3</c:v>
                </c:pt>
                <c:pt idx="4">
                  <c:v>1.159929915813596E-3</c:v>
                </c:pt>
                <c:pt idx="5">
                  <c:v>4.3344749485663109E-4</c:v>
                </c:pt>
                <c:pt idx="6">
                  <c:v>1.0353900722209096E-2</c:v>
                </c:pt>
                <c:pt idx="7">
                  <c:v>1.9895850503348422E-2</c:v>
                </c:pt>
                <c:pt idx="8">
                  <c:v>1.3015634634286238E-2</c:v>
                </c:pt>
                <c:pt idx="9">
                  <c:v>2.075664059876916E-3</c:v>
                </c:pt>
                <c:pt idx="10">
                  <c:v>1.4004627509874634E-2</c:v>
                </c:pt>
                <c:pt idx="11">
                  <c:v>4.0927211345335661E-2</c:v>
                </c:pt>
                <c:pt idx="12">
                  <c:v>4.0029791884153475E-2</c:v>
                </c:pt>
                <c:pt idx="13">
                  <c:v>4.1788001440755014E-2</c:v>
                </c:pt>
                <c:pt idx="14">
                  <c:v>4.0194624030084808E-2</c:v>
                </c:pt>
                <c:pt idx="15">
                  <c:v>4.0341141493134919E-2</c:v>
                </c:pt>
                <c:pt idx="16">
                  <c:v>2.93889611301381E-2</c:v>
                </c:pt>
                <c:pt idx="17">
                  <c:v>3.0579415517420196E-2</c:v>
                </c:pt>
                <c:pt idx="18">
                  <c:v>3.0463422525839126E-2</c:v>
                </c:pt>
                <c:pt idx="19">
                  <c:v>2.4608828898127655E-2</c:v>
                </c:pt>
                <c:pt idx="20">
                  <c:v>2.6159472048741472E-2</c:v>
                </c:pt>
              </c:numCache>
            </c:numRef>
          </c:val>
        </c:ser>
        <c:ser>
          <c:idx val="4"/>
          <c:order val="2"/>
          <c:tx>
            <c:strRef>
              <c:f>涨跌幅与相关性!$O$3</c:f>
              <c:strCache>
                <c:ptCount val="1"/>
                <c:pt idx="0">
                  <c:v>深证民营</c:v>
                </c:pt>
              </c:strCache>
            </c:strRef>
          </c:tx>
          <c:marker>
            <c:symbol val="none"/>
          </c:marker>
          <c:cat>
            <c:numRef>
              <c:f>涨跌幅与相关性!$J$4:$J$24</c:f>
              <c:numCache>
                <c:formatCode>yyyy/m/d;@</c:formatCode>
                <c:ptCount val="21"/>
                <c:pt idx="0">
                  <c:v>42580</c:v>
                </c:pt>
                <c:pt idx="1">
                  <c:v>42583</c:v>
                </c:pt>
                <c:pt idx="2">
                  <c:v>42584</c:v>
                </c:pt>
                <c:pt idx="3">
                  <c:v>42585</c:v>
                </c:pt>
                <c:pt idx="4">
                  <c:v>42586</c:v>
                </c:pt>
                <c:pt idx="5">
                  <c:v>42587</c:v>
                </c:pt>
                <c:pt idx="6">
                  <c:v>42590</c:v>
                </c:pt>
                <c:pt idx="7">
                  <c:v>42591</c:v>
                </c:pt>
                <c:pt idx="8">
                  <c:v>42592</c:v>
                </c:pt>
                <c:pt idx="9">
                  <c:v>42593</c:v>
                </c:pt>
                <c:pt idx="10">
                  <c:v>42594</c:v>
                </c:pt>
                <c:pt idx="11">
                  <c:v>42597</c:v>
                </c:pt>
                <c:pt idx="12">
                  <c:v>42598</c:v>
                </c:pt>
                <c:pt idx="13">
                  <c:v>42599</c:v>
                </c:pt>
                <c:pt idx="14">
                  <c:v>42600</c:v>
                </c:pt>
                <c:pt idx="15">
                  <c:v>42601</c:v>
                </c:pt>
                <c:pt idx="16">
                  <c:v>42604</c:v>
                </c:pt>
                <c:pt idx="17">
                  <c:v>42605</c:v>
                </c:pt>
                <c:pt idx="18">
                  <c:v>42606</c:v>
                </c:pt>
                <c:pt idx="19">
                  <c:v>42607</c:v>
                </c:pt>
                <c:pt idx="20">
                  <c:v>42608</c:v>
                </c:pt>
              </c:numCache>
            </c:numRef>
          </c:cat>
          <c:val>
            <c:numRef>
              <c:f>涨跌幅与相关性!$O$4:$O$24</c:f>
              <c:numCache>
                <c:formatCode>General</c:formatCode>
                <c:ptCount val="21"/>
                <c:pt idx="0">
                  <c:v>0</c:v>
                </c:pt>
                <c:pt idx="1">
                  <c:v>-1.5326857923689707E-2</c:v>
                </c:pt>
                <c:pt idx="2">
                  <c:v>-1.0147469354501507E-2</c:v>
                </c:pt>
                <c:pt idx="3">
                  <c:v>-5.2686074112682259E-3</c:v>
                </c:pt>
                <c:pt idx="4">
                  <c:v>3.0522235448524632E-3</c:v>
                </c:pt>
                <c:pt idx="5">
                  <c:v>1.6528964427509063E-3</c:v>
                </c:pt>
                <c:pt idx="6">
                  <c:v>1.2100892423207337E-2</c:v>
                </c:pt>
                <c:pt idx="7">
                  <c:v>2.1738875232145013E-2</c:v>
                </c:pt>
                <c:pt idx="8">
                  <c:v>1.398387956395465E-2</c:v>
                </c:pt>
                <c:pt idx="9">
                  <c:v>6.3157548735803815E-4</c:v>
                </c:pt>
                <c:pt idx="10">
                  <c:v>1.1347227994055414E-2</c:v>
                </c:pt>
                <c:pt idx="11">
                  <c:v>4.1543110309706796E-2</c:v>
                </c:pt>
                <c:pt idx="12">
                  <c:v>4.6137880676842415E-2</c:v>
                </c:pt>
                <c:pt idx="13">
                  <c:v>4.818521831615883E-2</c:v>
                </c:pt>
                <c:pt idx="14">
                  <c:v>4.6499451773694057E-2</c:v>
                </c:pt>
                <c:pt idx="15">
                  <c:v>4.7206158917540784E-2</c:v>
                </c:pt>
                <c:pt idx="16">
                  <c:v>3.2283133647477612E-2</c:v>
                </c:pt>
                <c:pt idx="17">
                  <c:v>3.4962046774152045E-2</c:v>
                </c:pt>
                <c:pt idx="18">
                  <c:v>3.4440820907261756E-2</c:v>
                </c:pt>
                <c:pt idx="19">
                  <c:v>2.8277677210925254E-2</c:v>
                </c:pt>
                <c:pt idx="20">
                  <c:v>3.0862675766988756E-2</c:v>
                </c:pt>
              </c:numCache>
            </c:numRef>
          </c:val>
        </c:ser>
        <c:marker val="1"/>
        <c:axId val="93533696"/>
        <c:axId val="93535232"/>
      </c:lineChart>
      <c:dateAx>
        <c:axId val="93533696"/>
        <c:scaling>
          <c:orientation val="minMax"/>
        </c:scaling>
        <c:delete val="1"/>
        <c:axPos val="b"/>
        <c:numFmt formatCode="yyyy/m/d;@" sourceLinked="1"/>
        <c:tickLblPos val="nextTo"/>
        <c:crossAx val="93535232"/>
        <c:crosses val="autoZero"/>
        <c:auto val="1"/>
        <c:lblOffset val="100"/>
      </c:dateAx>
      <c:valAx>
        <c:axId val="93535232"/>
        <c:scaling>
          <c:orientation val="minMax"/>
        </c:scaling>
        <c:axPos val="l"/>
        <c:majorGridlines/>
        <c:numFmt formatCode="General" sourceLinked="1"/>
        <c:tickLblPos val="nextTo"/>
        <c:crossAx val="93533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224</Words>
  <Characters>1280</Characters>
  <Application>Microsoft Office Word</Application>
  <DocSecurity>0</DocSecurity>
  <Lines>10</Lines>
  <Paragraphs>3</Paragraphs>
  <ScaleCrop>false</ScaleCrop>
  <Company>http://sdwm.org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69</cp:revision>
  <dcterms:created xsi:type="dcterms:W3CDTF">2015-09-06T09:00:00Z</dcterms:created>
  <dcterms:modified xsi:type="dcterms:W3CDTF">2016-10-14T08:15:00Z</dcterms:modified>
</cp:coreProperties>
</file>