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E4" w:rsidRDefault="00B53E9A" w:rsidP="00746992">
      <w:pPr>
        <w:spacing w:beforeLines="100" w:afterLines="100"/>
        <w:jc w:val="center"/>
        <w:rPr>
          <w:rFonts w:ascii="宋体" w:hAnsi="宋体"/>
          <w:b/>
          <w:sz w:val="32"/>
          <w:szCs w:val="32"/>
        </w:rPr>
      </w:pPr>
      <w:r>
        <w:rPr>
          <w:rFonts w:ascii="宋体" w:hAnsi="宋体" w:hint="eastAsia"/>
          <w:b/>
          <w:sz w:val="32"/>
          <w:szCs w:val="32"/>
        </w:rPr>
        <w:t>8</w:t>
      </w:r>
      <w:r>
        <w:rPr>
          <w:rFonts w:ascii="宋体" w:hAnsi="宋体" w:hint="eastAsia"/>
          <w:b/>
          <w:sz w:val="32"/>
          <w:szCs w:val="32"/>
        </w:rPr>
        <w:t>月投资通讯</w:t>
      </w:r>
    </w:p>
    <w:p w:rsidR="00543DE4" w:rsidRDefault="00B53E9A" w:rsidP="00746992">
      <w:pPr>
        <w:spacing w:beforeLines="100" w:afterLines="100"/>
        <w:rPr>
          <w:b/>
          <w:sz w:val="24"/>
          <w:szCs w:val="24"/>
        </w:rPr>
      </w:pPr>
      <w:r>
        <w:rPr>
          <w:rFonts w:hint="eastAsia"/>
          <w:b/>
          <w:sz w:val="24"/>
          <w:szCs w:val="24"/>
        </w:rPr>
        <w:t>一、股票市场发生了什么？</w:t>
      </w:r>
    </w:p>
    <w:p w:rsidR="00543DE4" w:rsidRDefault="00B53E9A">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月上半月，股市开启了一波弱势反弹，在上证综指冲高至</w:t>
      </w:r>
      <w:r>
        <w:rPr>
          <w:rFonts w:ascii="宋体" w:hAnsi="宋体" w:hint="eastAsia"/>
          <w:szCs w:val="21"/>
        </w:rPr>
        <w:t>4000</w:t>
      </w:r>
      <w:r>
        <w:rPr>
          <w:rFonts w:ascii="宋体" w:hAnsi="宋体" w:hint="eastAsia"/>
          <w:szCs w:val="21"/>
        </w:rPr>
        <w:t>点整数关口后即展开了另一波大调整，大跌的诱因主要有三点：</w:t>
      </w:r>
      <w:r>
        <w:rPr>
          <w:rFonts w:ascii="宋体" w:hAnsi="宋体" w:hint="eastAsia"/>
          <w:szCs w:val="21"/>
        </w:rPr>
        <w:t>1.</w:t>
      </w:r>
      <w:r>
        <w:rPr>
          <w:rFonts w:ascii="宋体" w:hAnsi="宋体" w:hint="eastAsia"/>
          <w:szCs w:val="21"/>
        </w:rPr>
        <w:t>证金公司称不再轻易出手干预市场，除非再次出现流动性危机；</w:t>
      </w:r>
      <w:r>
        <w:rPr>
          <w:rFonts w:ascii="宋体" w:hAnsi="宋体" w:hint="eastAsia"/>
          <w:szCs w:val="21"/>
        </w:rPr>
        <w:t>2.</w:t>
      </w:r>
      <w:r>
        <w:rPr>
          <w:rFonts w:ascii="宋体" w:hAnsi="宋体" w:hint="eastAsia"/>
          <w:szCs w:val="21"/>
        </w:rPr>
        <w:t>人民币贬值，加速了股市的恐慌；</w:t>
      </w:r>
      <w:r>
        <w:rPr>
          <w:rFonts w:ascii="宋体" w:hAnsi="宋体" w:hint="eastAsia"/>
          <w:szCs w:val="21"/>
        </w:rPr>
        <w:t>3.</w:t>
      </w:r>
      <w:r>
        <w:rPr>
          <w:rFonts w:ascii="宋体" w:hAnsi="宋体" w:hint="eastAsia"/>
          <w:szCs w:val="21"/>
        </w:rPr>
        <w:t>全球资本市场风雨飘摇。</w:t>
      </w:r>
    </w:p>
    <w:p w:rsidR="00543DE4" w:rsidRDefault="00B53E9A">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月，上证综指收盘</w:t>
      </w:r>
      <w:r>
        <w:rPr>
          <w:rFonts w:ascii="宋体" w:hAnsi="宋体"/>
          <w:szCs w:val="21"/>
        </w:rPr>
        <w:t>3205.9</w:t>
      </w:r>
      <w:r>
        <w:rPr>
          <w:rFonts w:ascii="宋体" w:hAnsi="宋体" w:hint="eastAsia"/>
          <w:szCs w:val="21"/>
        </w:rPr>
        <w:t>9</w:t>
      </w:r>
      <w:r>
        <w:rPr>
          <w:rFonts w:ascii="宋体" w:hAnsi="宋体" w:hint="eastAsia"/>
          <w:szCs w:val="21"/>
        </w:rPr>
        <w:t>点，跌幅</w:t>
      </w:r>
      <w:r>
        <w:rPr>
          <w:rFonts w:ascii="宋体" w:hAnsi="宋体" w:hint="eastAsia"/>
          <w:szCs w:val="21"/>
        </w:rPr>
        <w:t>12.49%</w:t>
      </w:r>
      <w:r>
        <w:rPr>
          <w:rFonts w:ascii="宋体" w:hAnsi="宋体" w:hint="eastAsia"/>
          <w:szCs w:val="21"/>
        </w:rPr>
        <w:t>；深证成指收盘</w:t>
      </w:r>
      <w:r>
        <w:rPr>
          <w:rFonts w:ascii="宋体" w:hAnsi="宋体" w:hint="eastAsia"/>
          <w:szCs w:val="21"/>
        </w:rPr>
        <w:t>10549.16</w:t>
      </w:r>
      <w:r>
        <w:rPr>
          <w:rFonts w:ascii="宋体" w:hAnsi="宋体" w:hint="eastAsia"/>
          <w:szCs w:val="21"/>
        </w:rPr>
        <w:t>点，跌幅</w:t>
      </w:r>
      <w:r>
        <w:rPr>
          <w:rFonts w:ascii="宋体" w:hAnsi="宋体" w:hint="eastAsia"/>
          <w:szCs w:val="21"/>
        </w:rPr>
        <w:t>14.57%</w:t>
      </w:r>
      <w:r>
        <w:rPr>
          <w:rFonts w:ascii="宋体" w:hAnsi="宋体" w:hint="eastAsia"/>
          <w:szCs w:val="21"/>
        </w:rPr>
        <w:t>；中小板指数收盘</w:t>
      </w:r>
      <w:r>
        <w:rPr>
          <w:rFonts w:ascii="宋体" w:hAnsi="宋体" w:hint="eastAsia"/>
          <w:szCs w:val="21"/>
        </w:rPr>
        <w:t>7133.33</w:t>
      </w:r>
      <w:r>
        <w:rPr>
          <w:rFonts w:ascii="宋体" w:hAnsi="宋体" w:hint="eastAsia"/>
          <w:szCs w:val="21"/>
        </w:rPr>
        <w:t>点，跌幅</w:t>
      </w:r>
      <w:r>
        <w:rPr>
          <w:rFonts w:ascii="宋体" w:hAnsi="宋体" w:hint="eastAsia"/>
          <w:szCs w:val="21"/>
        </w:rPr>
        <w:t>14.43%</w:t>
      </w:r>
      <w:r>
        <w:rPr>
          <w:rFonts w:ascii="宋体" w:hAnsi="宋体" w:hint="eastAsia"/>
          <w:szCs w:val="21"/>
        </w:rPr>
        <w:t>；创业板指数收盘</w:t>
      </w:r>
      <w:r>
        <w:rPr>
          <w:rFonts w:ascii="宋体" w:hAnsi="宋体" w:hint="eastAsia"/>
          <w:szCs w:val="21"/>
        </w:rPr>
        <w:t>1996.87</w:t>
      </w:r>
      <w:r>
        <w:rPr>
          <w:rFonts w:ascii="宋体" w:hAnsi="宋体" w:hint="eastAsia"/>
          <w:szCs w:val="21"/>
        </w:rPr>
        <w:t>点，跌幅</w:t>
      </w:r>
      <w:r>
        <w:rPr>
          <w:rFonts w:ascii="宋体" w:hAnsi="宋体" w:hint="eastAsia"/>
          <w:szCs w:val="21"/>
        </w:rPr>
        <w:t>21.38%</w:t>
      </w:r>
      <w:r>
        <w:rPr>
          <w:rFonts w:ascii="宋体" w:hAnsi="宋体" w:hint="eastAsia"/>
          <w:szCs w:val="21"/>
        </w:rPr>
        <w:t>。</w:t>
      </w:r>
    </w:p>
    <w:p w:rsidR="00543DE4" w:rsidRDefault="00B53E9A">
      <w:pPr>
        <w:spacing w:line="360" w:lineRule="auto"/>
        <w:ind w:firstLineChars="200" w:firstLine="420"/>
        <w:rPr>
          <w:rFonts w:ascii="宋体" w:hAnsi="宋体"/>
          <w:szCs w:val="21"/>
        </w:rPr>
      </w:pPr>
      <w:r>
        <w:rPr>
          <w:rFonts w:ascii="宋体" w:hAnsi="宋体" w:hint="eastAsia"/>
          <w:szCs w:val="21"/>
        </w:rPr>
        <w:t>本月</w:t>
      </w:r>
      <w:r>
        <w:rPr>
          <w:rFonts w:ascii="宋体" w:hAnsi="宋体" w:hint="eastAsia"/>
          <w:szCs w:val="21"/>
        </w:rPr>
        <w:t>A</w:t>
      </w:r>
      <w:r>
        <w:rPr>
          <w:rFonts w:ascii="宋体" w:hAnsi="宋体" w:hint="eastAsia"/>
          <w:szCs w:val="21"/>
        </w:rPr>
        <w:t>股市场各类板块全部下跌，无人机、软件、互联网、巨潮科技、电商、高送转、证券、智能家居、信息安全、计算机设备跌幅均在</w:t>
      </w:r>
      <w:r>
        <w:rPr>
          <w:rFonts w:ascii="宋体" w:hAnsi="宋体" w:hint="eastAsia"/>
          <w:szCs w:val="21"/>
        </w:rPr>
        <w:t>24%</w:t>
      </w:r>
      <w:r>
        <w:rPr>
          <w:rFonts w:ascii="宋体" w:hAnsi="宋体" w:hint="eastAsia"/>
          <w:szCs w:val="21"/>
        </w:rPr>
        <w:t>以上（无人机板块跌幅达</w:t>
      </w:r>
      <w:r>
        <w:rPr>
          <w:rFonts w:ascii="宋体" w:hAnsi="宋体" w:hint="eastAsia"/>
          <w:szCs w:val="21"/>
        </w:rPr>
        <w:t>28.37%</w:t>
      </w:r>
      <w:r>
        <w:rPr>
          <w:rFonts w:ascii="宋体" w:hAnsi="宋体" w:hint="eastAsia"/>
          <w:szCs w:val="21"/>
        </w:rPr>
        <w:t>），另外，国防军工、互联网金融、云计算、智能穿戴、物联网、电子支付跌幅也在</w:t>
      </w:r>
      <w:r>
        <w:rPr>
          <w:rFonts w:ascii="宋体" w:hAnsi="宋体" w:hint="eastAsia"/>
          <w:szCs w:val="21"/>
        </w:rPr>
        <w:t>20%</w:t>
      </w:r>
      <w:r>
        <w:rPr>
          <w:rFonts w:ascii="宋体" w:hAnsi="宋体" w:hint="eastAsia"/>
          <w:szCs w:val="21"/>
        </w:rPr>
        <w:t>以上。</w:t>
      </w:r>
    </w:p>
    <w:p w:rsidR="00543DE4" w:rsidRDefault="00B53E9A">
      <w:pPr>
        <w:spacing w:line="360" w:lineRule="auto"/>
        <w:ind w:firstLineChars="200" w:firstLine="420"/>
        <w:rPr>
          <w:rFonts w:ascii="宋体" w:hAnsi="宋体"/>
          <w:szCs w:val="21"/>
        </w:rPr>
      </w:pPr>
      <w:r>
        <w:rPr>
          <w:rFonts w:ascii="宋体" w:hAnsi="宋体" w:hint="eastAsia"/>
          <w:szCs w:val="21"/>
        </w:rPr>
        <w:t>本月</w:t>
      </w:r>
      <w:r>
        <w:rPr>
          <w:rFonts w:ascii="宋体" w:hAnsi="宋体" w:hint="eastAsia"/>
          <w:szCs w:val="21"/>
        </w:rPr>
        <w:t>A</w:t>
      </w:r>
      <w:r>
        <w:rPr>
          <w:rFonts w:ascii="宋体" w:hAnsi="宋体" w:hint="eastAsia"/>
          <w:szCs w:val="21"/>
        </w:rPr>
        <w:t>股市场热点散乱，涨幅超过</w:t>
      </w:r>
      <w:r>
        <w:rPr>
          <w:rFonts w:ascii="宋体" w:hAnsi="宋体" w:hint="eastAsia"/>
          <w:szCs w:val="21"/>
        </w:rPr>
        <w:t>100%</w:t>
      </w:r>
      <w:r>
        <w:rPr>
          <w:rFonts w:ascii="宋体" w:hAnsi="宋体" w:hint="eastAsia"/>
          <w:szCs w:val="21"/>
        </w:rPr>
        <w:t>的个股仅</w:t>
      </w:r>
      <w:r>
        <w:rPr>
          <w:rFonts w:ascii="宋体" w:hAnsi="宋体" w:hint="eastAsia"/>
          <w:szCs w:val="21"/>
        </w:rPr>
        <w:t>2</w:t>
      </w:r>
      <w:r>
        <w:rPr>
          <w:rFonts w:ascii="宋体" w:hAnsi="宋体" w:hint="eastAsia"/>
          <w:szCs w:val="21"/>
        </w:rPr>
        <w:t>支，涨幅达到</w:t>
      </w:r>
      <w:r>
        <w:rPr>
          <w:rFonts w:ascii="宋体" w:hAnsi="宋体" w:hint="eastAsia"/>
          <w:szCs w:val="21"/>
        </w:rPr>
        <w:t>50%</w:t>
      </w:r>
      <w:r>
        <w:rPr>
          <w:rFonts w:ascii="宋体" w:hAnsi="宋体" w:hint="eastAsia"/>
          <w:szCs w:val="21"/>
        </w:rPr>
        <w:t>的个股共有</w:t>
      </w:r>
      <w:r>
        <w:rPr>
          <w:rFonts w:ascii="宋体" w:hAnsi="宋体" w:hint="eastAsia"/>
          <w:szCs w:val="21"/>
        </w:rPr>
        <w:t>7</w:t>
      </w:r>
      <w:r>
        <w:rPr>
          <w:rFonts w:ascii="宋体" w:hAnsi="宋体" w:hint="eastAsia"/>
          <w:szCs w:val="21"/>
        </w:rPr>
        <w:t>支；下跌超过</w:t>
      </w:r>
      <w:r>
        <w:rPr>
          <w:rFonts w:ascii="宋体" w:hAnsi="宋体" w:hint="eastAsia"/>
          <w:szCs w:val="21"/>
        </w:rPr>
        <w:t>40%</w:t>
      </w:r>
      <w:r>
        <w:rPr>
          <w:rFonts w:ascii="宋体" w:hAnsi="宋体" w:hint="eastAsia"/>
          <w:szCs w:val="21"/>
        </w:rPr>
        <w:t>的个股多达</w:t>
      </w:r>
      <w:r>
        <w:rPr>
          <w:rFonts w:ascii="宋体" w:hAnsi="宋体" w:hint="eastAsia"/>
          <w:szCs w:val="21"/>
        </w:rPr>
        <w:t>82</w:t>
      </w:r>
      <w:r>
        <w:rPr>
          <w:rFonts w:ascii="宋体" w:hAnsi="宋体" w:hint="eastAsia"/>
          <w:szCs w:val="21"/>
        </w:rPr>
        <w:t>支，其中次新股浩丰科技具跌幅榜榜首，当月下跌</w:t>
      </w:r>
      <w:r>
        <w:rPr>
          <w:rFonts w:ascii="宋体" w:hAnsi="宋体" w:hint="eastAsia"/>
          <w:szCs w:val="21"/>
        </w:rPr>
        <w:t>62.99%</w:t>
      </w:r>
      <w:r>
        <w:rPr>
          <w:rFonts w:ascii="宋体" w:hAnsi="宋体" w:hint="eastAsia"/>
          <w:szCs w:val="21"/>
        </w:rPr>
        <w:t>。</w:t>
      </w:r>
    </w:p>
    <w:p w:rsidR="00543DE4" w:rsidRDefault="00B53E9A">
      <w:pPr>
        <w:spacing w:line="360" w:lineRule="auto"/>
        <w:ind w:firstLineChars="200" w:firstLine="420"/>
        <w:rPr>
          <w:rFonts w:ascii="宋体" w:hAnsi="宋体"/>
          <w:szCs w:val="21"/>
        </w:rPr>
      </w:pPr>
      <w:r>
        <w:rPr>
          <w:rFonts w:ascii="宋体" w:hAnsi="宋体" w:hint="eastAsia"/>
          <w:szCs w:val="21"/>
        </w:rPr>
        <w:t>本月</w:t>
      </w:r>
      <w:r>
        <w:rPr>
          <w:rFonts w:ascii="宋体" w:hAnsi="宋体" w:hint="eastAsia"/>
          <w:szCs w:val="21"/>
        </w:rPr>
        <w:t>A</w:t>
      </w:r>
      <w:r>
        <w:rPr>
          <w:rFonts w:ascii="宋体" w:hAnsi="宋体" w:hint="eastAsia"/>
          <w:szCs w:val="21"/>
        </w:rPr>
        <w:t>股市场换手率超过</w:t>
      </w:r>
      <w:r>
        <w:rPr>
          <w:rFonts w:ascii="宋体" w:hAnsi="宋体" w:hint="eastAsia"/>
          <w:szCs w:val="21"/>
        </w:rPr>
        <w:t>200%</w:t>
      </w:r>
      <w:r>
        <w:rPr>
          <w:rFonts w:ascii="宋体" w:hAnsi="宋体" w:hint="eastAsia"/>
          <w:szCs w:val="21"/>
        </w:rPr>
        <w:t>的个股达</w:t>
      </w:r>
      <w:r>
        <w:rPr>
          <w:rFonts w:ascii="宋体" w:hAnsi="宋体" w:hint="eastAsia"/>
          <w:szCs w:val="21"/>
        </w:rPr>
        <w:t>278</w:t>
      </w:r>
      <w:r>
        <w:rPr>
          <w:rFonts w:ascii="宋体" w:hAnsi="宋体" w:hint="eastAsia"/>
          <w:szCs w:val="21"/>
        </w:rPr>
        <w:t>支，主要是次新股和前期热门题材股。</w:t>
      </w:r>
    </w:p>
    <w:p w:rsidR="00543DE4" w:rsidRDefault="00B53E9A" w:rsidP="00746992">
      <w:pPr>
        <w:spacing w:beforeLines="100" w:afterLines="100"/>
        <w:rPr>
          <w:b/>
          <w:sz w:val="24"/>
          <w:szCs w:val="24"/>
        </w:rPr>
      </w:pPr>
      <w:r>
        <w:rPr>
          <w:rFonts w:hint="eastAsia"/>
          <w:b/>
          <w:sz w:val="24"/>
          <w:szCs w:val="24"/>
        </w:rPr>
        <w:t>二</w:t>
      </w:r>
      <w:r>
        <w:rPr>
          <w:rFonts w:hint="eastAsia"/>
          <w:b/>
          <w:sz w:val="24"/>
          <w:szCs w:val="24"/>
        </w:rPr>
        <w:t>. SBL5</w:t>
      </w:r>
      <w:r>
        <w:rPr>
          <w:rFonts w:hint="eastAsia"/>
          <w:b/>
          <w:sz w:val="24"/>
          <w:szCs w:val="24"/>
        </w:rPr>
        <w:t>2</w:t>
      </w:r>
      <w:r>
        <w:rPr>
          <w:rFonts w:hint="eastAsia"/>
          <w:b/>
          <w:sz w:val="24"/>
          <w:szCs w:val="24"/>
        </w:rPr>
        <w:t>民企指数表现优秀</w:t>
      </w:r>
    </w:p>
    <w:p w:rsidR="00543DE4" w:rsidRDefault="00B53E9A">
      <w:pPr>
        <w:spacing w:line="360" w:lineRule="auto"/>
        <w:ind w:firstLineChars="200" w:firstLine="420"/>
      </w:pPr>
      <w:r>
        <w:rPr>
          <w:rFonts w:hint="eastAsia"/>
        </w:rPr>
        <w:t>本月</w:t>
      </w:r>
      <w:r>
        <w:rPr>
          <w:rFonts w:hint="eastAsia"/>
        </w:rPr>
        <w:t>SBL 52</w:t>
      </w:r>
      <w:r>
        <w:rPr>
          <w:rFonts w:hint="eastAsia"/>
        </w:rPr>
        <w:t>民企指数开盘</w:t>
      </w:r>
      <w:r>
        <w:t>631.17</w:t>
      </w:r>
      <w:r>
        <w:rPr>
          <w:rFonts w:hint="eastAsia"/>
        </w:rPr>
        <w:t>点，最高</w:t>
      </w:r>
      <w:r>
        <w:t>666.89</w:t>
      </w:r>
      <w:r>
        <w:rPr>
          <w:rFonts w:hint="eastAsia"/>
        </w:rPr>
        <w:t>点，最低</w:t>
      </w:r>
      <w:r>
        <w:t>504.04</w:t>
      </w:r>
      <w:r>
        <w:rPr>
          <w:rFonts w:hint="eastAsia"/>
        </w:rPr>
        <w:t>点，收盘</w:t>
      </w:r>
      <w:r>
        <w:t>560.42</w:t>
      </w:r>
      <w:r>
        <w:rPr>
          <w:rFonts w:hint="eastAsia"/>
        </w:rPr>
        <w:t>点，下跌</w:t>
      </w:r>
      <w:r>
        <w:rPr>
          <w:rFonts w:hint="eastAsia"/>
        </w:rPr>
        <w:t>64.43</w:t>
      </w:r>
      <w:r>
        <w:rPr>
          <w:rFonts w:hint="eastAsia"/>
        </w:rPr>
        <w:t>点，跌幅</w:t>
      </w:r>
      <w:r>
        <w:rPr>
          <w:rFonts w:hint="eastAsia"/>
        </w:rPr>
        <w:t>10.31%</w:t>
      </w:r>
      <w:r>
        <w:rPr>
          <w:rFonts w:hint="eastAsia"/>
        </w:rPr>
        <w:t>。同期，</w:t>
      </w:r>
      <w:r>
        <w:rPr>
          <w:rFonts w:ascii="宋体" w:hAnsi="宋体" w:hint="eastAsia"/>
          <w:szCs w:val="21"/>
        </w:rPr>
        <w:t>上证综指下跌</w:t>
      </w:r>
      <w:r>
        <w:rPr>
          <w:rFonts w:ascii="宋体" w:hAnsi="宋体" w:hint="eastAsia"/>
          <w:szCs w:val="21"/>
        </w:rPr>
        <w:t>14.43%</w:t>
      </w:r>
      <w:r>
        <w:rPr>
          <w:rFonts w:ascii="宋体" w:hAnsi="宋体" w:hint="eastAsia"/>
          <w:szCs w:val="21"/>
        </w:rPr>
        <w:t>，深证成指下跌</w:t>
      </w:r>
      <w:r>
        <w:rPr>
          <w:rFonts w:ascii="宋体" w:hAnsi="宋体" w:hint="eastAsia"/>
          <w:szCs w:val="21"/>
        </w:rPr>
        <w:t>14.57%</w:t>
      </w:r>
      <w:r>
        <w:rPr>
          <w:rFonts w:ascii="宋体" w:hAnsi="宋体" w:hint="eastAsia"/>
          <w:szCs w:val="21"/>
        </w:rPr>
        <w:t>，沪深</w:t>
      </w:r>
      <w:r>
        <w:rPr>
          <w:rFonts w:ascii="宋体" w:hAnsi="宋体" w:hint="eastAsia"/>
          <w:szCs w:val="21"/>
        </w:rPr>
        <w:t>300</w:t>
      </w:r>
      <w:r>
        <w:rPr>
          <w:rFonts w:ascii="宋体" w:hAnsi="宋体" w:hint="eastAsia"/>
          <w:szCs w:val="21"/>
        </w:rPr>
        <w:t>下跌</w:t>
      </w:r>
      <w:r>
        <w:rPr>
          <w:rFonts w:ascii="宋体" w:hAnsi="宋体" w:hint="eastAsia"/>
          <w:szCs w:val="21"/>
        </w:rPr>
        <w:t>11.79%</w:t>
      </w:r>
      <w:r>
        <w:rPr>
          <w:rFonts w:ascii="宋体" w:hAnsi="宋体" w:hint="eastAsia"/>
          <w:szCs w:val="21"/>
        </w:rPr>
        <w:t>，中证民企</w:t>
      </w:r>
      <w:r>
        <w:rPr>
          <w:rFonts w:ascii="宋体" w:hAnsi="宋体" w:hint="eastAsia"/>
          <w:szCs w:val="21"/>
        </w:rPr>
        <w:t>200</w:t>
      </w:r>
      <w:r>
        <w:rPr>
          <w:rFonts w:ascii="宋体" w:hAnsi="宋体" w:hint="eastAsia"/>
          <w:szCs w:val="21"/>
        </w:rPr>
        <w:t>指数下跌</w:t>
      </w:r>
      <w:r>
        <w:rPr>
          <w:rFonts w:ascii="宋体" w:hAnsi="宋体" w:hint="eastAsia"/>
          <w:szCs w:val="21"/>
        </w:rPr>
        <w:t>14.09%</w:t>
      </w:r>
      <w:r>
        <w:rPr>
          <w:rFonts w:ascii="宋体" w:hAnsi="宋体" w:hint="eastAsia"/>
          <w:szCs w:val="21"/>
        </w:rPr>
        <w:t>，深证民营指数下跌</w:t>
      </w:r>
      <w:r>
        <w:rPr>
          <w:rFonts w:ascii="宋体" w:hAnsi="宋体" w:hint="eastAsia"/>
          <w:szCs w:val="21"/>
        </w:rPr>
        <w:t>16.27%</w:t>
      </w:r>
      <w:r>
        <w:rPr>
          <w:rFonts w:ascii="宋体" w:hAnsi="宋体" w:hint="eastAsia"/>
          <w:szCs w:val="21"/>
        </w:rPr>
        <w:t>。</w:t>
      </w:r>
    </w:p>
    <w:p w:rsidR="00543DE4" w:rsidRDefault="00B53E9A">
      <w:pPr>
        <w:spacing w:line="360" w:lineRule="auto"/>
        <w:ind w:firstLineChars="200" w:firstLine="361"/>
        <w:jc w:val="center"/>
        <w:rPr>
          <w:b/>
          <w:sz w:val="18"/>
          <w:szCs w:val="18"/>
        </w:rPr>
      </w:pPr>
      <w:r>
        <w:rPr>
          <w:rFonts w:hint="eastAsia"/>
          <w:b/>
          <w:sz w:val="18"/>
          <w:szCs w:val="18"/>
        </w:rPr>
        <w:t>SBL 52</w:t>
      </w:r>
      <w:r>
        <w:rPr>
          <w:rFonts w:hint="eastAsia"/>
          <w:b/>
          <w:sz w:val="18"/>
          <w:szCs w:val="18"/>
        </w:rPr>
        <w:t>民企指数与市场主要指数对比图：</w:t>
      </w:r>
    </w:p>
    <w:p w:rsidR="00543DE4" w:rsidRDefault="00543DE4">
      <w:pPr>
        <w:spacing w:line="360" w:lineRule="auto"/>
        <w:ind w:firstLineChars="200" w:firstLine="420"/>
        <w:rPr>
          <w:rFonts w:ascii="宋体" w:hAnsi="宋体"/>
          <w:szCs w:val="21"/>
        </w:rPr>
      </w:pPr>
      <w:r w:rsidRPr="00543DE4">
        <w:rPr>
          <w:rFonts w:ascii="宋体" w:hAns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2" o:spid="_x0000_i1025" type="#_x0000_t75" style="width:405.75pt;height:200.25pt">
            <v:imagedata r:id="rId8" o:title=""/>
          </v:shape>
        </w:pict>
      </w:r>
    </w:p>
    <w:p w:rsidR="00543DE4" w:rsidRDefault="00B53E9A">
      <w:pPr>
        <w:spacing w:line="360" w:lineRule="auto"/>
        <w:ind w:firstLineChars="200" w:firstLine="361"/>
        <w:jc w:val="center"/>
        <w:rPr>
          <w:b/>
          <w:sz w:val="18"/>
          <w:szCs w:val="18"/>
        </w:rPr>
      </w:pPr>
      <w:r>
        <w:rPr>
          <w:rFonts w:hint="eastAsia"/>
          <w:b/>
          <w:sz w:val="18"/>
          <w:szCs w:val="18"/>
        </w:rPr>
        <w:lastRenderedPageBreak/>
        <w:t>SBL 52</w:t>
      </w:r>
      <w:r>
        <w:rPr>
          <w:rFonts w:hint="eastAsia"/>
          <w:b/>
          <w:sz w:val="18"/>
          <w:szCs w:val="18"/>
        </w:rPr>
        <w:t>民企指数与同类指数对比图：</w:t>
      </w:r>
    </w:p>
    <w:p w:rsidR="00543DE4" w:rsidRDefault="00543DE4">
      <w:pPr>
        <w:spacing w:line="360" w:lineRule="auto"/>
        <w:ind w:firstLineChars="200" w:firstLine="420"/>
      </w:pPr>
      <w:r>
        <w:pict>
          <v:shape id="图表 1" o:spid="_x0000_i1026" type="#_x0000_t75" style="width:417pt;height:273pt">
            <v:imagedata r:id="rId9" o:title=""/>
          </v:shape>
        </w:pict>
      </w:r>
    </w:p>
    <w:p w:rsidR="00543DE4" w:rsidRDefault="00B53E9A">
      <w:pPr>
        <w:spacing w:line="360" w:lineRule="auto"/>
        <w:ind w:firstLineChars="200" w:firstLine="420"/>
      </w:pPr>
      <w:r>
        <w:rPr>
          <w:rFonts w:hint="eastAsia"/>
        </w:rPr>
        <w:t>同时，我们也对各指数风险收益特征进行了分析，其中</w:t>
      </w:r>
      <w:r>
        <w:rPr>
          <w:rFonts w:hint="eastAsia"/>
          <w:szCs w:val="20"/>
        </w:rPr>
        <w:t>无风险利率取样本时段区间内一年期</w:t>
      </w:r>
      <w:r>
        <w:rPr>
          <w:rFonts w:hint="eastAsia"/>
          <w:szCs w:val="20"/>
        </w:rPr>
        <w:t>贷</w:t>
      </w:r>
      <w:r>
        <w:rPr>
          <w:rFonts w:hint="eastAsia"/>
          <w:szCs w:val="20"/>
        </w:rPr>
        <w:t>款利率——</w:t>
      </w:r>
      <w:r>
        <w:rPr>
          <w:rFonts w:hint="eastAsia"/>
          <w:szCs w:val="20"/>
        </w:rPr>
        <w:t>4</w:t>
      </w:r>
      <w:r>
        <w:rPr>
          <w:rFonts w:hint="eastAsia"/>
          <w:szCs w:val="20"/>
        </w:rPr>
        <w:t>.</w:t>
      </w:r>
      <w:r>
        <w:rPr>
          <w:rFonts w:hint="eastAsia"/>
          <w:szCs w:val="20"/>
        </w:rPr>
        <w:t>6</w:t>
      </w:r>
      <w:r>
        <w:rPr>
          <w:rFonts w:hint="eastAsia"/>
          <w:szCs w:val="20"/>
        </w:rPr>
        <w:t>%</w:t>
      </w:r>
      <w:r>
        <w:rPr>
          <w:rFonts w:hint="eastAsia"/>
          <w:szCs w:val="20"/>
        </w:rPr>
        <w:t>，</w:t>
      </w:r>
      <w:r>
        <w:rPr>
          <w:szCs w:val="20"/>
        </w:rPr>
        <w:t>β</w:t>
      </w:r>
      <w:r>
        <w:rPr>
          <w:szCs w:val="20"/>
        </w:rPr>
        <w:t>系数</w:t>
      </w:r>
      <w:r>
        <w:rPr>
          <w:rFonts w:hint="eastAsia"/>
          <w:szCs w:val="20"/>
        </w:rPr>
        <w:t>的基准指数为</w:t>
      </w:r>
      <w:r>
        <w:rPr>
          <w:rFonts w:hint="eastAsia"/>
        </w:rPr>
        <w:t>沪深</w:t>
      </w:r>
      <w:r>
        <w:rPr>
          <w:rFonts w:hint="eastAsia"/>
        </w:rPr>
        <w:t>300</w:t>
      </w:r>
      <w:r>
        <w:t>指数</w:t>
      </w:r>
      <w:r>
        <w:rPr>
          <w:rFonts w:hint="eastAsia"/>
        </w:rPr>
        <w:t>，结果如下：</w:t>
      </w:r>
    </w:p>
    <w:p w:rsidR="00543DE4" w:rsidRDefault="00B53E9A">
      <w:pPr>
        <w:spacing w:line="360" w:lineRule="auto"/>
        <w:ind w:firstLineChars="200" w:firstLine="361"/>
        <w:jc w:val="center"/>
        <w:rPr>
          <w:b/>
          <w:sz w:val="18"/>
          <w:szCs w:val="18"/>
        </w:rPr>
      </w:pPr>
      <w:r>
        <w:rPr>
          <w:rFonts w:hint="eastAsia"/>
          <w:b/>
          <w:sz w:val="18"/>
          <w:szCs w:val="18"/>
        </w:rPr>
        <w:t>各指数风险收益特征对比：</w:t>
      </w:r>
    </w:p>
    <w:tbl>
      <w:tblPr>
        <w:tblW w:w="8789" w:type="dxa"/>
        <w:tblInd w:w="-176" w:type="dxa"/>
        <w:tblLayout w:type="fixed"/>
        <w:tblLook w:val="04A0"/>
      </w:tblPr>
      <w:tblGrid>
        <w:gridCol w:w="1372"/>
        <w:gridCol w:w="1322"/>
        <w:gridCol w:w="1254"/>
        <w:gridCol w:w="1088"/>
        <w:gridCol w:w="1485"/>
        <w:gridCol w:w="1134"/>
        <w:gridCol w:w="1134"/>
      </w:tblGrid>
      <w:tr w:rsidR="00543DE4">
        <w:trPr>
          <w:trHeight w:val="270"/>
        </w:trPr>
        <w:tc>
          <w:tcPr>
            <w:tcW w:w="1372" w:type="dxa"/>
            <w:tcBorders>
              <w:top w:val="single" w:sz="8" w:space="0" w:color="auto"/>
              <w:left w:val="nil"/>
              <w:bottom w:val="nil"/>
              <w:right w:val="single" w:sz="4" w:space="0" w:color="auto"/>
            </w:tcBorders>
            <w:shd w:val="clear" w:color="000000" w:fill="C0C0C0"/>
            <w:vAlign w:val="bottom"/>
          </w:tcPr>
          <w:p w:rsidR="00543DE4" w:rsidRDefault="00543DE4">
            <w:pPr>
              <w:widowControl/>
              <w:jc w:val="center"/>
              <w:rPr>
                <w:rFonts w:ascii="宋体" w:hAnsi="宋体" w:cs="宋体"/>
                <w:color w:val="000000"/>
                <w:kern w:val="0"/>
                <w:sz w:val="18"/>
                <w:szCs w:val="18"/>
              </w:rPr>
            </w:pPr>
          </w:p>
        </w:tc>
        <w:tc>
          <w:tcPr>
            <w:tcW w:w="1322" w:type="dxa"/>
            <w:tcBorders>
              <w:top w:val="single" w:sz="8" w:space="0" w:color="auto"/>
              <w:left w:val="nil"/>
              <w:bottom w:val="nil"/>
              <w:right w:val="single" w:sz="4" w:space="0" w:color="auto"/>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SBL</w:t>
            </w:r>
            <w:r>
              <w:rPr>
                <w:rFonts w:ascii="宋体" w:hAnsi="宋体" w:cs="宋体" w:hint="eastAsia"/>
                <w:b/>
                <w:bCs/>
                <w:kern w:val="0"/>
                <w:sz w:val="18"/>
                <w:szCs w:val="18"/>
              </w:rPr>
              <w:t>民企成指</w:t>
            </w:r>
          </w:p>
        </w:tc>
        <w:tc>
          <w:tcPr>
            <w:tcW w:w="1254" w:type="dxa"/>
            <w:tcBorders>
              <w:top w:val="single" w:sz="8" w:space="0" w:color="auto"/>
              <w:left w:val="nil"/>
              <w:bottom w:val="nil"/>
              <w:right w:val="single" w:sz="4" w:space="0" w:color="auto"/>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上证综指</w:t>
            </w:r>
          </w:p>
        </w:tc>
        <w:tc>
          <w:tcPr>
            <w:tcW w:w="1088" w:type="dxa"/>
            <w:tcBorders>
              <w:top w:val="single" w:sz="8" w:space="0" w:color="auto"/>
              <w:left w:val="nil"/>
              <w:bottom w:val="nil"/>
              <w:right w:val="single" w:sz="4" w:space="0" w:color="auto"/>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深证成指</w:t>
            </w:r>
          </w:p>
        </w:tc>
        <w:tc>
          <w:tcPr>
            <w:tcW w:w="1485" w:type="dxa"/>
            <w:tcBorders>
              <w:top w:val="single" w:sz="8" w:space="0" w:color="auto"/>
              <w:left w:val="nil"/>
              <w:bottom w:val="nil"/>
              <w:right w:val="single" w:sz="4" w:space="0" w:color="auto"/>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中证民企</w:t>
            </w:r>
            <w:r>
              <w:rPr>
                <w:rFonts w:ascii="宋体" w:hAnsi="宋体" w:cs="宋体" w:hint="eastAsia"/>
                <w:b/>
                <w:bCs/>
                <w:kern w:val="0"/>
                <w:sz w:val="18"/>
                <w:szCs w:val="18"/>
              </w:rPr>
              <w:t>200</w:t>
            </w:r>
          </w:p>
        </w:tc>
        <w:tc>
          <w:tcPr>
            <w:tcW w:w="1134" w:type="dxa"/>
            <w:tcBorders>
              <w:top w:val="single" w:sz="8" w:space="0" w:color="auto"/>
              <w:left w:val="nil"/>
              <w:bottom w:val="nil"/>
              <w:right w:val="single" w:sz="4" w:space="0" w:color="auto"/>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深证民营</w:t>
            </w:r>
          </w:p>
        </w:tc>
        <w:tc>
          <w:tcPr>
            <w:tcW w:w="1134" w:type="dxa"/>
            <w:tcBorders>
              <w:top w:val="single" w:sz="4" w:space="0" w:color="auto"/>
              <w:left w:val="nil"/>
              <w:bottom w:val="nil"/>
              <w:right w:val="nil"/>
            </w:tcBorders>
            <w:shd w:val="clear" w:color="000000" w:fill="C0C0C0"/>
            <w:vAlign w:val="bottom"/>
          </w:tcPr>
          <w:p w:rsidR="00543DE4" w:rsidRDefault="00B53E9A">
            <w:pPr>
              <w:widowControl/>
              <w:jc w:val="center"/>
              <w:rPr>
                <w:rFonts w:ascii="宋体" w:hAnsi="宋体" w:cs="宋体"/>
                <w:b/>
                <w:bCs/>
                <w:kern w:val="0"/>
                <w:sz w:val="18"/>
                <w:szCs w:val="18"/>
              </w:rPr>
            </w:pPr>
            <w:r>
              <w:rPr>
                <w:rFonts w:ascii="宋体" w:hAnsi="宋体" w:cs="宋体" w:hint="eastAsia"/>
                <w:b/>
                <w:bCs/>
                <w:kern w:val="0"/>
                <w:sz w:val="18"/>
                <w:szCs w:val="18"/>
              </w:rPr>
              <w:t>沪深</w:t>
            </w:r>
            <w:r>
              <w:rPr>
                <w:rFonts w:ascii="宋体" w:hAnsi="宋体" w:cs="宋体" w:hint="eastAsia"/>
                <w:b/>
                <w:bCs/>
                <w:kern w:val="0"/>
                <w:sz w:val="18"/>
                <w:szCs w:val="18"/>
              </w:rPr>
              <w:t>300</w:t>
            </w:r>
          </w:p>
        </w:tc>
      </w:tr>
      <w:tr w:rsidR="00543DE4">
        <w:trPr>
          <w:trHeight w:val="270"/>
        </w:trPr>
        <w:tc>
          <w:tcPr>
            <w:tcW w:w="1372"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平均回报率</w:t>
            </w:r>
          </w:p>
        </w:tc>
        <w:tc>
          <w:tcPr>
            <w:tcW w:w="1322" w:type="dxa"/>
            <w:tcBorders>
              <w:top w:val="nil"/>
              <w:left w:val="nil"/>
              <w:bottom w:val="nil"/>
              <w:right w:val="nil"/>
            </w:tcBorders>
            <w:shd w:val="clear" w:color="auto" w:fill="auto"/>
            <w:vAlign w:val="bottom"/>
          </w:tcPr>
          <w:p w:rsidR="00543DE4" w:rsidRDefault="00B53E9A">
            <w:pPr>
              <w:widowControl/>
              <w:jc w:val="center"/>
              <w:rPr>
                <w:rFonts w:ascii="宋体" w:hAnsi="宋体" w:cs="宋体"/>
                <w:color w:val="000000"/>
                <w:kern w:val="0"/>
                <w:sz w:val="18"/>
                <w:szCs w:val="18"/>
              </w:rPr>
            </w:pPr>
            <w:r>
              <w:rPr>
                <w:rFonts w:ascii="宋体" w:hAnsi="宋体" w:cs="宋体" w:hint="eastAsia"/>
                <w:color w:val="000000"/>
                <w:kern w:val="0"/>
                <w:sz w:val="18"/>
                <w:szCs w:val="18"/>
              </w:rPr>
              <w:t>-0.00493</w:t>
            </w:r>
          </w:p>
        </w:tc>
        <w:tc>
          <w:tcPr>
            <w:tcW w:w="1254" w:type="dxa"/>
            <w:tcBorders>
              <w:top w:val="nil"/>
              <w:left w:val="single" w:sz="4" w:space="0" w:color="auto"/>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-0.00605</w:t>
            </w:r>
          </w:p>
        </w:tc>
        <w:tc>
          <w:tcPr>
            <w:tcW w:w="1088"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-0.00723</w:t>
            </w:r>
          </w:p>
        </w:tc>
        <w:tc>
          <w:tcPr>
            <w:tcW w:w="1485"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-0.00688</w:t>
            </w:r>
          </w:p>
        </w:tc>
        <w:tc>
          <w:tcPr>
            <w:tcW w:w="1134"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-0.00804</w:t>
            </w:r>
          </w:p>
        </w:tc>
        <w:tc>
          <w:tcPr>
            <w:tcW w:w="1134" w:type="dxa"/>
            <w:tcBorders>
              <w:top w:val="nil"/>
              <w:left w:val="nil"/>
              <w:bottom w:val="nil"/>
              <w:right w:val="nil"/>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-0.00569</w:t>
            </w:r>
          </w:p>
        </w:tc>
      </w:tr>
      <w:tr w:rsidR="00543DE4">
        <w:trPr>
          <w:trHeight w:val="270"/>
        </w:trPr>
        <w:tc>
          <w:tcPr>
            <w:tcW w:w="1372"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贝塔系数</w:t>
            </w:r>
          </w:p>
        </w:tc>
        <w:tc>
          <w:tcPr>
            <w:tcW w:w="1322"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0.92583</w:t>
            </w:r>
          </w:p>
        </w:tc>
        <w:tc>
          <w:tcPr>
            <w:tcW w:w="1254"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0.99056</w:t>
            </w:r>
          </w:p>
        </w:tc>
        <w:tc>
          <w:tcPr>
            <w:tcW w:w="1088"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0.89490</w:t>
            </w:r>
          </w:p>
        </w:tc>
        <w:tc>
          <w:tcPr>
            <w:tcW w:w="1485"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0.99156</w:t>
            </w:r>
          </w:p>
        </w:tc>
        <w:tc>
          <w:tcPr>
            <w:tcW w:w="1134" w:type="dxa"/>
            <w:tcBorders>
              <w:top w:val="nil"/>
              <w:left w:val="nil"/>
              <w:bottom w:val="nil"/>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1.07873</w:t>
            </w:r>
          </w:p>
        </w:tc>
        <w:tc>
          <w:tcPr>
            <w:tcW w:w="1134" w:type="dxa"/>
            <w:tcBorders>
              <w:top w:val="nil"/>
              <w:left w:val="nil"/>
              <w:bottom w:val="nil"/>
              <w:right w:val="nil"/>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1.00000</w:t>
            </w:r>
          </w:p>
        </w:tc>
      </w:tr>
      <w:tr w:rsidR="00543DE4">
        <w:trPr>
          <w:trHeight w:val="270"/>
        </w:trPr>
        <w:tc>
          <w:tcPr>
            <w:tcW w:w="1372"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夏普指数</w:t>
            </w:r>
          </w:p>
        </w:tc>
        <w:tc>
          <w:tcPr>
            <w:tcW w:w="1322"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-0.06389</w:t>
            </w:r>
          </w:p>
        </w:tc>
        <w:tc>
          <w:tcPr>
            <w:tcW w:w="1254"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-0.07402</w:t>
            </w:r>
          </w:p>
        </w:tc>
        <w:tc>
          <w:tcPr>
            <w:tcW w:w="1088"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-0.09617</w:t>
            </w:r>
          </w:p>
        </w:tc>
        <w:tc>
          <w:tcPr>
            <w:tcW w:w="1485"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-0.08239</w:t>
            </w:r>
          </w:p>
        </w:tc>
        <w:tc>
          <w:tcPr>
            <w:tcW w:w="1134" w:type="dxa"/>
            <w:tcBorders>
              <w:top w:val="nil"/>
              <w:left w:val="nil"/>
              <w:bottom w:val="nil"/>
              <w:right w:val="single" w:sz="4" w:space="0" w:color="auto"/>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-0.08815</w:t>
            </w:r>
          </w:p>
        </w:tc>
        <w:tc>
          <w:tcPr>
            <w:tcW w:w="1134" w:type="dxa"/>
            <w:tcBorders>
              <w:top w:val="nil"/>
              <w:left w:val="nil"/>
              <w:bottom w:val="nil"/>
              <w:right w:val="nil"/>
            </w:tcBorders>
            <w:shd w:val="clear" w:color="000000" w:fill="CCFFCC"/>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0.06848</w:t>
            </w:r>
          </w:p>
        </w:tc>
      </w:tr>
      <w:tr w:rsidR="00543DE4">
        <w:trPr>
          <w:trHeight w:val="285"/>
        </w:trPr>
        <w:tc>
          <w:tcPr>
            <w:tcW w:w="1372"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詹森指数</w:t>
            </w:r>
          </w:p>
        </w:tc>
        <w:tc>
          <w:tcPr>
            <w:tcW w:w="1322"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0.00032</w:t>
            </w:r>
          </w:p>
        </w:tc>
        <w:tc>
          <w:tcPr>
            <w:tcW w:w="1254"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-0.00041</w:t>
            </w:r>
          </w:p>
        </w:tc>
        <w:tc>
          <w:tcPr>
            <w:tcW w:w="1088"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-0.00215</w:t>
            </w:r>
          </w:p>
        </w:tc>
        <w:tc>
          <w:tcPr>
            <w:tcW w:w="1485"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-0.00124</w:t>
            </w:r>
          </w:p>
        </w:tc>
        <w:tc>
          <w:tcPr>
            <w:tcW w:w="1134" w:type="dxa"/>
            <w:tcBorders>
              <w:top w:val="nil"/>
              <w:left w:val="nil"/>
              <w:bottom w:val="single" w:sz="8" w:space="0" w:color="auto"/>
              <w:right w:val="single" w:sz="4" w:space="0" w:color="auto"/>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-0.00189</w:t>
            </w:r>
          </w:p>
        </w:tc>
        <w:tc>
          <w:tcPr>
            <w:tcW w:w="1134" w:type="dxa"/>
            <w:tcBorders>
              <w:top w:val="nil"/>
              <w:left w:val="nil"/>
              <w:bottom w:val="single" w:sz="8" w:space="0" w:color="auto"/>
              <w:right w:val="nil"/>
            </w:tcBorders>
            <w:shd w:val="clear" w:color="000000" w:fill="FFFFFF"/>
            <w:vAlign w:val="bottom"/>
          </w:tcPr>
          <w:p w:rsidR="00543DE4" w:rsidRDefault="00B53E9A">
            <w:pPr>
              <w:widowControl/>
              <w:jc w:val="center"/>
              <w:rPr>
                <w:rFonts w:ascii="宋体" w:hAnsi="宋体" w:cs="宋体"/>
                <w:kern w:val="0"/>
                <w:sz w:val="18"/>
                <w:szCs w:val="18"/>
              </w:rPr>
            </w:pPr>
            <w:r>
              <w:rPr>
                <w:rFonts w:ascii="宋体" w:hAnsi="宋体" w:cs="宋体" w:hint="eastAsia"/>
                <w:kern w:val="0"/>
                <w:sz w:val="18"/>
                <w:szCs w:val="18"/>
              </w:rPr>
              <w:t>0.00000</w:t>
            </w:r>
          </w:p>
        </w:tc>
      </w:tr>
    </w:tbl>
    <w:p w:rsidR="00543DE4" w:rsidRDefault="00543DE4">
      <w:pPr>
        <w:rPr>
          <w:szCs w:val="18"/>
        </w:rPr>
      </w:pPr>
    </w:p>
    <w:p w:rsidR="00543DE4" w:rsidRDefault="00B53E9A">
      <w:pPr>
        <w:spacing w:line="360" w:lineRule="auto"/>
        <w:ind w:firstLine="435"/>
        <w:rPr>
          <w:szCs w:val="18"/>
        </w:rPr>
      </w:pPr>
      <w:r>
        <w:rPr>
          <w:rFonts w:hint="eastAsia"/>
          <w:szCs w:val="18"/>
        </w:rPr>
        <w:t>从平均回报率来看，本月各大指数均为负值，但</w:t>
      </w:r>
      <w:r>
        <w:rPr>
          <w:rFonts w:hint="eastAsia"/>
        </w:rPr>
        <w:t>SBL52</w:t>
      </w:r>
      <w:r>
        <w:rPr>
          <w:rFonts w:hint="eastAsia"/>
        </w:rPr>
        <w:t>中国民企指数较其他</w:t>
      </w:r>
      <w:r>
        <w:rPr>
          <w:rFonts w:hint="eastAsia"/>
          <w:szCs w:val="18"/>
        </w:rPr>
        <w:t>指数要好。</w:t>
      </w:r>
    </w:p>
    <w:p w:rsidR="00543DE4" w:rsidRDefault="00B53E9A">
      <w:pPr>
        <w:spacing w:line="360" w:lineRule="auto"/>
        <w:ind w:firstLine="435"/>
        <w:rPr>
          <w:szCs w:val="18"/>
        </w:rPr>
      </w:pPr>
      <w:r>
        <w:rPr>
          <w:rFonts w:hint="eastAsia"/>
        </w:rPr>
        <w:t>本月，</w:t>
      </w:r>
      <w:r>
        <w:rPr>
          <w:rFonts w:hint="eastAsia"/>
        </w:rPr>
        <w:t>SBL52</w:t>
      </w:r>
      <w:r>
        <w:rPr>
          <w:rFonts w:hint="eastAsia"/>
        </w:rPr>
        <w:t>中国民企指数</w:t>
      </w:r>
      <w:r>
        <w:rPr>
          <w:rFonts w:hint="eastAsia"/>
          <w:szCs w:val="18"/>
        </w:rPr>
        <w:t>β系数小于上证综指、中证民企</w:t>
      </w:r>
      <w:r>
        <w:rPr>
          <w:rFonts w:hint="eastAsia"/>
          <w:szCs w:val="18"/>
        </w:rPr>
        <w:t>200</w:t>
      </w:r>
      <w:r>
        <w:rPr>
          <w:rFonts w:hint="eastAsia"/>
          <w:szCs w:val="18"/>
        </w:rPr>
        <w:t>指数、深证民营、沪深</w:t>
      </w:r>
      <w:r>
        <w:rPr>
          <w:rFonts w:hint="eastAsia"/>
          <w:szCs w:val="18"/>
        </w:rPr>
        <w:t>300</w:t>
      </w:r>
      <w:r>
        <w:rPr>
          <w:rFonts w:hint="eastAsia"/>
          <w:szCs w:val="18"/>
        </w:rPr>
        <w:t>指数，表现较为稳定。</w:t>
      </w:r>
    </w:p>
    <w:p w:rsidR="00543DE4" w:rsidRDefault="00B53E9A">
      <w:pPr>
        <w:spacing w:line="360" w:lineRule="auto"/>
        <w:ind w:firstLine="435"/>
      </w:pPr>
      <w:r>
        <w:rPr>
          <w:rFonts w:hint="eastAsia"/>
          <w:szCs w:val="18"/>
        </w:rPr>
        <w:t>从夏普指数来看，</w:t>
      </w:r>
      <w:r>
        <w:rPr>
          <w:rFonts w:hint="eastAsia"/>
        </w:rPr>
        <w:t>SBL52</w:t>
      </w:r>
      <w:r>
        <w:rPr>
          <w:rFonts w:hint="eastAsia"/>
        </w:rPr>
        <w:t>民企指数优于上证综指、深证成指、中证民企</w:t>
      </w:r>
      <w:r>
        <w:rPr>
          <w:rFonts w:hint="eastAsia"/>
        </w:rPr>
        <w:t>200</w:t>
      </w:r>
      <w:r>
        <w:rPr>
          <w:rFonts w:hint="eastAsia"/>
        </w:rPr>
        <w:t>、深证民营这四个指数；从詹森指数来看，</w:t>
      </w:r>
      <w:r>
        <w:rPr>
          <w:rFonts w:hint="eastAsia"/>
        </w:rPr>
        <w:t>SBL52</w:t>
      </w:r>
      <w:r>
        <w:rPr>
          <w:rFonts w:hint="eastAsia"/>
        </w:rPr>
        <w:t>民企指数在以上几个指数中表现最好。</w:t>
      </w:r>
    </w:p>
    <w:p w:rsidR="00543DE4" w:rsidRDefault="00B53E9A">
      <w:pPr>
        <w:spacing w:line="360" w:lineRule="auto"/>
        <w:ind w:firstLineChars="200" w:firstLine="420"/>
      </w:pPr>
      <w:r>
        <w:rPr>
          <w:rFonts w:hint="eastAsia"/>
        </w:rPr>
        <w:t>根据以上指标的对比，可以发行，本月</w:t>
      </w:r>
      <w:r>
        <w:rPr>
          <w:rFonts w:hint="eastAsia"/>
        </w:rPr>
        <w:t>SBL52</w:t>
      </w:r>
      <w:r>
        <w:rPr>
          <w:rFonts w:hint="eastAsia"/>
        </w:rPr>
        <w:t>民企指数表现大幅好于其他主要市场指数和同类指数，表明公司具有良好的风险管理能力，尤其是在本月下旬的暴跌中，</w:t>
      </w:r>
      <w:r>
        <w:rPr>
          <w:rFonts w:hint="eastAsia"/>
        </w:rPr>
        <w:t>SBL52</w:t>
      </w:r>
      <w:r>
        <w:rPr>
          <w:rFonts w:hint="eastAsia"/>
        </w:rPr>
        <w:t>民企指数的回撤和波动比其他几个指数明显要小。</w:t>
      </w:r>
    </w:p>
    <w:p w:rsidR="00543DE4" w:rsidRDefault="00543DE4">
      <w:pPr>
        <w:spacing w:line="360" w:lineRule="auto"/>
        <w:ind w:firstLineChars="200" w:firstLine="420"/>
      </w:pPr>
    </w:p>
    <w:p w:rsidR="00543DE4" w:rsidRDefault="00746992">
      <w:pPr>
        <w:numPr>
          <w:ilvl w:val="0"/>
          <w:numId w:val="1"/>
        </w:numPr>
        <w:spacing w:line="360" w:lineRule="auto"/>
        <w:rPr>
          <w:b/>
          <w:bCs/>
        </w:rPr>
      </w:pPr>
      <w:r>
        <w:rPr>
          <w:rFonts w:hint="eastAsia"/>
          <w:b/>
          <w:bCs/>
        </w:rPr>
        <w:lastRenderedPageBreak/>
        <w:t>8</w:t>
      </w:r>
      <w:r>
        <w:rPr>
          <w:rFonts w:hint="eastAsia"/>
          <w:b/>
          <w:bCs/>
        </w:rPr>
        <w:t>月份</w:t>
      </w:r>
      <w:r w:rsidR="00B53E9A">
        <w:rPr>
          <w:rFonts w:hint="eastAsia"/>
          <w:b/>
          <w:bCs/>
        </w:rPr>
        <w:t>中概股情况</w:t>
      </w:r>
    </w:p>
    <w:p w:rsidR="00543DE4" w:rsidRDefault="00B53E9A" w:rsidP="00746992">
      <w:pPr>
        <w:spacing w:line="360" w:lineRule="auto"/>
        <w:ind w:firstLineChars="200" w:firstLine="422"/>
        <w:rPr>
          <w:b/>
          <w:bCs/>
        </w:rPr>
      </w:pPr>
      <w:r>
        <w:rPr>
          <w:rFonts w:hint="eastAsia"/>
          <w:b/>
          <w:bCs/>
        </w:rPr>
        <w:t>8</w:t>
      </w:r>
      <w:r>
        <w:rPr>
          <w:rFonts w:hint="eastAsia"/>
          <w:b/>
          <w:bCs/>
        </w:rPr>
        <w:t>月中概股概况</w:t>
      </w:r>
      <w:r>
        <w:rPr>
          <w:rFonts w:hint="eastAsia"/>
          <w:b/>
          <w:bCs/>
        </w:rPr>
        <w:t>:</w:t>
      </w:r>
    </w:p>
    <w:p w:rsidR="00543DE4" w:rsidRDefault="00B53E9A">
      <w:pPr>
        <w:spacing w:line="360" w:lineRule="auto"/>
        <w:ind w:firstLineChars="200" w:firstLine="420"/>
      </w:pPr>
      <w:r>
        <w:rPr>
          <w:rFonts w:hint="eastAsia"/>
        </w:rPr>
        <w:t>8</w:t>
      </w:r>
      <w:r>
        <w:rPr>
          <w:rFonts w:hint="eastAsia"/>
        </w:rPr>
        <w:t>月</w:t>
      </w:r>
      <w:r>
        <w:rPr>
          <w:rFonts w:hint="eastAsia"/>
        </w:rPr>
        <w:t>24</w:t>
      </w:r>
      <w:r>
        <w:rPr>
          <w:rFonts w:hint="eastAsia"/>
        </w:rPr>
        <w:t>日晚美国股市，中概股遭遇历史最惊魂时刻。百度盘前一度暴跌</w:t>
      </w:r>
      <w:r>
        <w:rPr>
          <w:rFonts w:hint="eastAsia"/>
        </w:rPr>
        <w:t>25%</w:t>
      </w:r>
      <w:r>
        <w:rPr>
          <w:rFonts w:hint="eastAsia"/>
        </w:rPr>
        <w:t>，阿里巴巴开盘价</w:t>
      </w:r>
      <w:r>
        <w:rPr>
          <w:rFonts w:hint="eastAsia"/>
        </w:rPr>
        <w:t>58.08</w:t>
      </w:r>
      <w:r>
        <w:rPr>
          <w:rFonts w:hint="eastAsia"/>
        </w:rPr>
        <w:t>美元破发行价创下最低纪录，</w:t>
      </w:r>
      <w:r>
        <w:rPr>
          <w:rFonts w:hint="eastAsia"/>
        </w:rPr>
        <w:t>500</w:t>
      </w:r>
      <w:r>
        <w:rPr>
          <w:rFonts w:hint="eastAsia"/>
        </w:rPr>
        <w:t>彩票、新浪微博、聚美优品的开盘价跌幅均在</w:t>
      </w:r>
      <w:r>
        <w:rPr>
          <w:rFonts w:hint="eastAsia"/>
        </w:rPr>
        <w:t>20%</w:t>
      </w:r>
      <w:r>
        <w:rPr>
          <w:rFonts w:hint="eastAsia"/>
        </w:rPr>
        <w:t>以上，而陌陌、迅雷、</w:t>
      </w:r>
      <w:r>
        <w:rPr>
          <w:rFonts w:hint="eastAsia"/>
        </w:rPr>
        <w:t>360</w:t>
      </w:r>
      <w:r>
        <w:rPr>
          <w:rFonts w:hint="eastAsia"/>
        </w:rPr>
        <w:t>、唯品会</w:t>
      </w:r>
      <w:r>
        <w:rPr>
          <w:rFonts w:hint="eastAsia"/>
        </w:rPr>
        <w:t xml:space="preserve"> </w:t>
      </w:r>
      <w:r>
        <w:rPr>
          <w:rFonts w:hint="eastAsia"/>
        </w:rPr>
        <w:t>等的跌幅也处在</w:t>
      </w:r>
      <w:r>
        <w:rPr>
          <w:rFonts w:hint="eastAsia"/>
        </w:rPr>
        <w:t>15%-20%</w:t>
      </w:r>
      <w:r>
        <w:rPr>
          <w:rFonts w:hint="eastAsia"/>
        </w:rPr>
        <w:t>之间。</w:t>
      </w:r>
      <w:r>
        <w:rPr>
          <w:rFonts w:hint="eastAsia"/>
        </w:rPr>
        <w:t xml:space="preserve"> </w:t>
      </w:r>
    </w:p>
    <w:p w:rsidR="00543DE4" w:rsidRDefault="00B53E9A">
      <w:pPr>
        <w:spacing w:line="360" w:lineRule="auto"/>
        <w:ind w:firstLineChars="200" w:firstLine="420"/>
      </w:pPr>
      <w:r>
        <w:rPr>
          <w:rFonts w:hint="eastAsia"/>
        </w:rPr>
        <w:t>8</w:t>
      </w:r>
      <w:r>
        <w:rPr>
          <w:rFonts w:hint="eastAsia"/>
        </w:rPr>
        <w:t>月</w:t>
      </w:r>
      <w:r>
        <w:rPr>
          <w:rFonts w:hint="eastAsia"/>
        </w:rPr>
        <w:t>31</w:t>
      </w:r>
      <w:r>
        <w:rPr>
          <w:rFonts w:hint="eastAsia"/>
        </w:rPr>
        <w:t>日，道琼斯工业平均</w:t>
      </w:r>
      <w:r>
        <w:rPr>
          <w:rFonts w:hint="eastAsia"/>
        </w:rPr>
        <w:t>指数下跌</w:t>
      </w:r>
      <w:r>
        <w:rPr>
          <w:rFonts w:hint="eastAsia"/>
        </w:rPr>
        <w:t>114.85</w:t>
      </w:r>
      <w:r>
        <w:rPr>
          <w:rFonts w:hint="eastAsia"/>
        </w:rPr>
        <w:t>点，报</w:t>
      </w:r>
      <w:r>
        <w:rPr>
          <w:rFonts w:hint="eastAsia"/>
        </w:rPr>
        <w:t>16528.16</w:t>
      </w:r>
      <w:r>
        <w:rPr>
          <w:rFonts w:hint="eastAsia"/>
        </w:rPr>
        <w:t>点，跌幅为</w:t>
      </w:r>
      <w:r>
        <w:rPr>
          <w:rFonts w:hint="eastAsia"/>
        </w:rPr>
        <w:t>0.69%</w:t>
      </w:r>
      <w:r>
        <w:rPr>
          <w:rFonts w:hint="eastAsia"/>
        </w:rPr>
        <w:t>；标准普尔</w:t>
      </w:r>
      <w:r>
        <w:rPr>
          <w:rFonts w:hint="eastAsia"/>
        </w:rPr>
        <w:t>500</w:t>
      </w:r>
      <w:r>
        <w:rPr>
          <w:rFonts w:hint="eastAsia"/>
        </w:rPr>
        <w:t>指数下跌</w:t>
      </w:r>
      <w:r>
        <w:rPr>
          <w:rFonts w:hint="eastAsia"/>
        </w:rPr>
        <w:t>16.68</w:t>
      </w:r>
      <w:r>
        <w:rPr>
          <w:rFonts w:hint="eastAsia"/>
        </w:rPr>
        <w:t>点，报</w:t>
      </w:r>
      <w:r>
        <w:rPr>
          <w:rFonts w:hint="eastAsia"/>
        </w:rPr>
        <w:t>1972.19</w:t>
      </w:r>
      <w:r>
        <w:rPr>
          <w:rFonts w:hint="eastAsia"/>
        </w:rPr>
        <w:t>点，跌幅为</w:t>
      </w:r>
      <w:r>
        <w:rPr>
          <w:rFonts w:hint="eastAsia"/>
        </w:rPr>
        <w:t>0.84%</w:t>
      </w:r>
      <w:r>
        <w:rPr>
          <w:rFonts w:hint="eastAsia"/>
        </w:rPr>
        <w:t>；纳斯达克综合指数下跌</w:t>
      </w:r>
      <w:r>
        <w:rPr>
          <w:rFonts w:hint="eastAsia"/>
        </w:rPr>
        <w:t>51.82</w:t>
      </w:r>
      <w:r>
        <w:rPr>
          <w:rFonts w:hint="eastAsia"/>
        </w:rPr>
        <w:t>点，报</w:t>
      </w:r>
      <w:r>
        <w:rPr>
          <w:rFonts w:hint="eastAsia"/>
        </w:rPr>
        <w:t>4776.51</w:t>
      </w:r>
      <w:r>
        <w:rPr>
          <w:rFonts w:hint="eastAsia"/>
        </w:rPr>
        <w:t>点，跌幅为</w:t>
      </w:r>
      <w:r>
        <w:rPr>
          <w:rFonts w:hint="eastAsia"/>
        </w:rPr>
        <w:t>1.07%</w:t>
      </w:r>
      <w:r>
        <w:rPr>
          <w:rFonts w:hint="eastAsia"/>
        </w:rPr>
        <w:t>。</w:t>
      </w:r>
      <w:r>
        <w:rPr>
          <w:rFonts w:hint="eastAsia"/>
        </w:rPr>
        <w:t xml:space="preserve"> </w:t>
      </w:r>
    </w:p>
    <w:p w:rsidR="00543DE4" w:rsidRDefault="00B53E9A">
      <w:pPr>
        <w:spacing w:line="360" w:lineRule="auto"/>
        <w:ind w:firstLineChars="200" w:firstLine="420"/>
      </w:pPr>
      <w:r>
        <w:rPr>
          <w:rFonts w:hint="eastAsia"/>
        </w:rPr>
        <w:t>中概股收盘普跌，</w:t>
      </w:r>
      <w:r>
        <w:rPr>
          <w:rFonts w:hint="eastAsia"/>
        </w:rPr>
        <w:t>19</w:t>
      </w:r>
      <w:r>
        <w:rPr>
          <w:rFonts w:hint="eastAsia"/>
        </w:rPr>
        <w:t>只股票跌幅破</w:t>
      </w:r>
      <w:r>
        <w:rPr>
          <w:rFonts w:hint="eastAsia"/>
        </w:rPr>
        <w:t>3%</w:t>
      </w:r>
      <w:r>
        <w:rPr>
          <w:rFonts w:hint="eastAsia"/>
        </w:rPr>
        <w:t>。跌幅靠前的分别为</w:t>
      </w:r>
      <w:r>
        <w:rPr>
          <w:rFonts w:hint="eastAsia"/>
        </w:rPr>
        <w:t>500</w:t>
      </w:r>
      <w:r>
        <w:rPr>
          <w:rFonts w:hint="eastAsia"/>
        </w:rPr>
        <w:t>彩票网跌</w:t>
      </w:r>
      <w:r>
        <w:rPr>
          <w:rFonts w:hint="eastAsia"/>
        </w:rPr>
        <w:t>6.47%</w:t>
      </w:r>
      <w:r>
        <w:rPr>
          <w:rFonts w:hint="eastAsia"/>
        </w:rPr>
        <w:t>，报</w:t>
      </w:r>
      <w:r>
        <w:rPr>
          <w:rFonts w:hint="eastAsia"/>
        </w:rPr>
        <w:t>15.61</w:t>
      </w:r>
      <w:r>
        <w:rPr>
          <w:rFonts w:hint="eastAsia"/>
        </w:rPr>
        <w:t>美元；搜房网跌</w:t>
      </w:r>
      <w:r>
        <w:rPr>
          <w:rFonts w:hint="eastAsia"/>
        </w:rPr>
        <w:t>5.86%</w:t>
      </w:r>
      <w:r>
        <w:rPr>
          <w:rFonts w:hint="eastAsia"/>
        </w:rPr>
        <w:t>，</w:t>
      </w:r>
      <w:r>
        <w:rPr>
          <w:rFonts w:hint="eastAsia"/>
        </w:rPr>
        <w:t>5.46</w:t>
      </w:r>
      <w:r>
        <w:rPr>
          <w:rFonts w:hint="eastAsia"/>
        </w:rPr>
        <w:t>美元；陌陌跌</w:t>
      </w:r>
      <w:r>
        <w:rPr>
          <w:rFonts w:hint="eastAsia"/>
        </w:rPr>
        <w:t>5.74%</w:t>
      </w:r>
      <w:r>
        <w:rPr>
          <w:rFonts w:hint="eastAsia"/>
        </w:rPr>
        <w:t>，报</w:t>
      </w:r>
      <w:r>
        <w:rPr>
          <w:rFonts w:hint="eastAsia"/>
        </w:rPr>
        <w:t>11.66</w:t>
      </w:r>
      <w:r>
        <w:rPr>
          <w:rFonts w:hint="eastAsia"/>
        </w:rPr>
        <w:t>美元。</w:t>
      </w:r>
    </w:p>
    <w:p w:rsidR="00543DE4" w:rsidRDefault="00B53E9A">
      <w:pPr>
        <w:spacing w:line="360" w:lineRule="auto"/>
        <w:ind w:firstLineChars="200" w:firstLine="420"/>
      </w:pPr>
      <w:r>
        <w:rPr>
          <w:rFonts w:hint="eastAsia"/>
        </w:rPr>
        <w:t>投资者恐慌情绪还会持续，低迷的股价会影响中概股企业的回归进程，一部分企业可能会取消私有化计划。那些已经提交私有化的企业取消私有化</w:t>
      </w:r>
      <w:r>
        <w:rPr>
          <w:rFonts w:hint="eastAsia"/>
        </w:rPr>
        <w:t>计划的可能性不大，但在公司股价严重下跌情况下，这些企业不会高价买其他股东的股票，以加快私有化进程。</w:t>
      </w:r>
      <w:r>
        <w:rPr>
          <w:rFonts w:hint="eastAsia"/>
        </w:rPr>
        <w:t xml:space="preserve"> </w:t>
      </w:r>
    </w:p>
    <w:p w:rsidR="00543DE4" w:rsidRDefault="00B53E9A" w:rsidP="00746992">
      <w:pPr>
        <w:spacing w:line="360" w:lineRule="auto"/>
        <w:ind w:firstLineChars="200" w:firstLine="422"/>
        <w:rPr>
          <w:b/>
          <w:bCs/>
        </w:rPr>
      </w:pPr>
      <w:r>
        <w:rPr>
          <w:rFonts w:hint="eastAsia"/>
          <w:b/>
          <w:bCs/>
        </w:rPr>
        <w:t>中概股回归进展</w:t>
      </w:r>
      <w:r>
        <w:rPr>
          <w:rFonts w:hint="eastAsia"/>
          <w:b/>
          <w:bCs/>
        </w:rPr>
        <w:t>:</w:t>
      </w:r>
    </w:p>
    <w:p w:rsidR="00543DE4" w:rsidRDefault="00B53E9A">
      <w:pPr>
        <w:spacing w:line="360" w:lineRule="auto"/>
        <w:ind w:firstLineChars="200" w:firstLine="420"/>
      </w:pPr>
      <w:r>
        <w:rPr>
          <w:rFonts w:hint="eastAsia"/>
        </w:rPr>
        <w:t>8</w:t>
      </w:r>
      <w:r>
        <w:rPr>
          <w:rFonts w:hint="eastAsia"/>
        </w:rPr>
        <w:t>月</w:t>
      </w:r>
      <w:r>
        <w:rPr>
          <w:rFonts w:hint="eastAsia"/>
        </w:rPr>
        <w:t>9</w:t>
      </w:r>
      <w:r>
        <w:rPr>
          <w:rFonts w:hint="eastAsia"/>
        </w:rPr>
        <w:t>日晚间，银润投资发布公告，宣布了</w:t>
      </w:r>
      <w:r>
        <w:rPr>
          <w:rFonts w:hint="eastAsia"/>
        </w:rPr>
        <w:t>55</w:t>
      </w:r>
      <w:r>
        <w:rPr>
          <w:rFonts w:hint="eastAsia"/>
        </w:rPr>
        <w:t>亿元的再融资方案，其中，拟以</w:t>
      </w:r>
      <w:r>
        <w:rPr>
          <w:rFonts w:hint="eastAsia"/>
        </w:rPr>
        <w:t>23</w:t>
      </w:r>
      <w:r>
        <w:rPr>
          <w:rFonts w:hint="eastAsia"/>
        </w:rPr>
        <w:t>亿元收购中概股学大教育，成为在中国资本市场中，首单</w:t>
      </w:r>
      <w:r>
        <w:rPr>
          <w:rFonts w:hint="eastAsia"/>
        </w:rPr>
        <w:t>A</w:t>
      </w:r>
      <w:r>
        <w:rPr>
          <w:rFonts w:hint="eastAsia"/>
        </w:rPr>
        <w:t>股上市公司直接收购美股的案例。除了并购学大教育的</w:t>
      </w:r>
      <w:r>
        <w:rPr>
          <w:rFonts w:hint="eastAsia"/>
        </w:rPr>
        <w:t>23</w:t>
      </w:r>
      <w:r>
        <w:rPr>
          <w:rFonts w:hint="eastAsia"/>
        </w:rPr>
        <w:t>亿之外，其再融资剩余资金全部投向</w:t>
      </w:r>
      <w:r>
        <w:rPr>
          <w:rFonts w:hint="eastAsia"/>
        </w:rPr>
        <w:t>K12</w:t>
      </w:r>
      <w:r>
        <w:rPr>
          <w:rFonts w:hint="eastAsia"/>
        </w:rPr>
        <w:t>教育培训产业，银润投资也一举化身“教育股”。此次非公开发行如果顺利完成，清华控股将成为银润投资的实控人。</w:t>
      </w:r>
      <w:r>
        <w:rPr>
          <w:rFonts w:hint="eastAsia"/>
        </w:rPr>
        <w:t xml:space="preserve"> </w:t>
      </w:r>
    </w:p>
    <w:p w:rsidR="00543DE4" w:rsidRDefault="00B53E9A">
      <w:pPr>
        <w:spacing w:line="360" w:lineRule="auto"/>
        <w:ind w:firstLineChars="200" w:firstLine="420"/>
      </w:pPr>
      <w:r>
        <w:rPr>
          <w:rFonts w:hint="eastAsia"/>
        </w:rPr>
        <w:t>目前，已经顺利完成私有化退市的中概股包括分众传媒、巨人网络、盛大游戏</w:t>
      </w:r>
      <w:r>
        <w:rPr>
          <w:rFonts w:hint="eastAsia"/>
        </w:rPr>
        <w:t>、文思海辉、亚信联创、完美世界等多家公司。</w:t>
      </w:r>
      <w:r>
        <w:rPr>
          <w:rFonts w:hint="eastAsia"/>
        </w:rPr>
        <w:t>8</w:t>
      </w:r>
      <w:r>
        <w:rPr>
          <w:rFonts w:hint="eastAsia"/>
        </w:rPr>
        <w:t>月</w:t>
      </w:r>
      <w:r>
        <w:rPr>
          <w:rFonts w:hint="eastAsia"/>
        </w:rPr>
        <w:t>31</w:t>
      </w:r>
      <w:r>
        <w:rPr>
          <w:rFonts w:hint="eastAsia"/>
        </w:rPr>
        <w:t>日晚，分众传媒宣布终止与宏达新材的合作，转而通过借壳七喜控股的方式回归</w:t>
      </w:r>
      <w:r>
        <w:rPr>
          <w:rFonts w:hint="eastAsia"/>
        </w:rPr>
        <w:t>A</w:t>
      </w:r>
      <w:r>
        <w:rPr>
          <w:rFonts w:hint="eastAsia"/>
        </w:rPr>
        <w:t>股。</w:t>
      </w:r>
      <w:r>
        <w:rPr>
          <w:rFonts w:hint="eastAsia"/>
        </w:rPr>
        <w:t xml:space="preserve"> </w:t>
      </w:r>
    </w:p>
    <w:p w:rsidR="00543DE4" w:rsidRDefault="00B53E9A">
      <w:pPr>
        <w:spacing w:line="360" w:lineRule="auto"/>
        <w:ind w:firstLineChars="200" w:firstLine="420"/>
      </w:pPr>
      <w:r>
        <w:rPr>
          <w:rFonts w:hint="eastAsia"/>
        </w:rPr>
        <w:t>一些中概股公司考虑分拆部分业务直接回到</w:t>
      </w:r>
      <w:r>
        <w:rPr>
          <w:rFonts w:hint="eastAsia"/>
        </w:rPr>
        <w:t>A</w:t>
      </w:r>
      <w:r>
        <w:rPr>
          <w:rFonts w:hint="eastAsia"/>
        </w:rPr>
        <w:t>股市场、或者被同行业其他公司并购。这种方法不涉及退市和拆除</w:t>
      </w:r>
      <w:r>
        <w:rPr>
          <w:rFonts w:hint="eastAsia"/>
        </w:rPr>
        <w:t>VIE</w:t>
      </w:r>
      <w:r>
        <w:rPr>
          <w:rFonts w:hint="eastAsia"/>
        </w:rPr>
        <w:t>等繁杂的法度模范，也被认为是未来中概股公司回归的方法之一。</w:t>
      </w:r>
      <w:r>
        <w:rPr>
          <w:rFonts w:hint="eastAsia"/>
        </w:rPr>
        <w:t xml:space="preserve"> </w:t>
      </w:r>
    </w:p>
    <w:p w:rsidR="00543DE4" w:rsidRDefault="00B53E9A" w:rsidP="00746992">
      <w:pPr>
        <w:spacing w:line="360" w:lineRule="auto"/>
        <w:ind w:firstLineChars="200" w:firstLine="422"/>
        <w:rPr>
          <w:b/>
          <w:bCs/>
        </w:rPr>
      </w:pPr>
      <w:r>
        <w:rPr>
          <w:rFonts w:hint="eastAsia"/>
          <w:b/>
          <w:bCs/>
        </w:rPr>
        <w:t>海外上市：</w:t>
      </w:r>
      <w:r>
        <w:rPr>
          <w:rFonts w:hint="eastAsia"/>
          <w:b/>
          <w:bCs/>
        </w:rPr>
        <w:t xml:space="preserve"> </w:t>
      </w:r>
    </w:p>
    <w:p w:rsidR="00543DE4" w:rsidRDefault="00B53E9A">
      <w:pPr>
        <w:spacing w:line="360" w:lineRule="auto"/>
        <w:ind w:firstLineChars="200" w:firstLine="420"/>
      </w:pPr>
      <w:r>
        <w:rPr>
          <w:rFonts w:hint="eastAsia"/>
        </w:rPr>
        <w:t>湖北未来</w:t>
      </w:r>
      <w:r>
        <w:rPr>
          <w:rFonts w:hint="eastAsia"/>
        </w:rPr>
        <w:t>5</w:t>
      </w:r>
      <w:r>
        <w:rPr>
          <w:rFonts w:hint="eastAsia"/>
        </w:rPr>
        <w:t>年内，将重点扶持</w:t>
      </w:r>
      <w:r>
        <w:rPr>
          <w:rFonts w:hint="eastAsia"/>
        </w:rPr>
        <w:t>1000</w:t>
      </w:r>
      <w:r>
        <w:rPr>
          <w:rFonts w:hint="eastAsia"/>
        </w:rPr>
        <w:t>个光电类创业项目，加快推动湖北省光电企业海外上市的步伐。比如，登陆澳洲资本市场，耗时最多不会超过一年。</w:t>
      </w:r>
      <w:r>
        <w:rPr>
          <w:rFonts w:hint="eastAsia"/>
        </w:rPr>
        <w:t xml:space="preserve"> </w:t>
      </w:r>
    </w:p>
    <w:p w:rsidR="00543DE4" w:rsidRDefault="00B53E9A">
      <w:pPr>
        <w:spacing w:line="360" w:lineRule="auto"/>
        <w:ind w:firstLineChars="200" w:firstLine="420"/>
      </w:pPr>
      <w:r>
        <w:rPr>
          <w:rFonts w:hint="eastAsia"/>
        </w:rPr>
        <w:t>新款奥德赛特别版自带吸尘器，</w:t>
      </w:r>
      <w:r>
        <w:rPr>
          <w:rFonts w:hint="eastAsia"/>
        </w:rPr>
        <w:t>8</w:t>
      </w:r>
      <w:r>
        <w:rPr>
          <w:rFonts w:hint="eastAsia"/>
        </w:rPr>
        <w:t>月份海外上市</w:t>
      </w:r>
      <w:r>
        <w:rPr>
          <w:rFonts w:hint="eastAsia"/>
        </w:rPr>
        <w:t xml:space="preserve"> </w:t>
      </w:r>
    </w:p>
    <w:p w:rsidR="00543DE4" w:rsidRDefault="00B53E9A">
      <w:pPr>
        <w:spacing w:line="360" w:lineRule="auto"/>
        <w:ind w:firstLineChars="200" w:firstLine="420"/>
      </w:pPr>
      <w:r>
        <w:rPr>
          <w:rFonts w:hint="eastAsia"/>
        </w:rPr>
        <w:t>海外上市难点：</w:t>
      </w:r>
      <w:r>
        <w:rPr>
          <w:rFonts w:hint="eastAsia"/>
        </w:rPr>
        <w:t xml:space="preserve"> </w:t>
      </w:r>
    </w:p>
    <w:p w:rsidR="00543DE4" w:rsidRDefault="00B53E9A">
      <w:pPr>
        <w:spacing w:line="360" w:lineRule="auto"/>
        <w:ind w:firstLineChars="200" w:firstLine="420"/>
      </w:pPr>
      <w:r>
        <w:rPr>
          <w:rFonts w:hint="eastAsia"/>
        </w:rPr>
        <w:t>暴跌波及中概股</w:t>
      </w:r>
      <w:r>
        <w:rPr>
          <w:rFonts w:hint="eastAsia"/>
        </w:rPr>
        <w:t xml:space="preserve"> </w:t>
      </w:r>
      <w:r>
        <w:rPr>
          <w:rFonts w:hint="eastAsia"/>
        </w:rPr>
        <w:t>私有化回归内地可能受阻</w:t>
      </w:r>
      <w:r>
        <w:rPr>
          <w:rFonts w:hint="eastAsia"/>
        </w:rPr>
        <w:t xml:space="preserve"> </w:t>
      </w:r>
    </w:p>
    <w:p w:rsidR="00543DE4" w:rsidRDefault="00B53E9A">
      <w:pPr>
        <w:spacing w:line="360" w:lineRule="auto"/>
        <w:ind w:firstLineChars="200" w:firstLine="420"/>
      </w:pPr>
      <w:r>
        <w:rPr>
          <w:rFonts w:hint="eastAsia"/>
        </w:rPr>
        <w:lastRenderedPageBreak/>
        <w:t>华尔街购买中国公司股票的热情已经远远不如以前，尤其是新近上市的一些互联网公司。华尔街喜欢新兴市场，现在的</w:t>
      </w:r>
      <w:r>
        <w:rPr>
          <w:rFonts w:hint="eastAsia"/>
        </w:rPr>
        <w:t>A</w:t>
      </w:r>
      <w:r>
        <w:rPr>
          <w:rFonts w:hint="eastAsia"/>
        </w:rPr>
        <w:t>股、中概股可能已经不在他们喜欢范围之类</w:t>
      </w:r>
      <w:r>
        <w:rPr>
          <w:rFonts w:hint="eastAsia"/>
        </w:rPr>
        <w:t xml:space="preserve"> </w:t>
      </w:r>
    </w:p>
    <w:p w:rsidR="00543DE4" w:rsidRDefault="00B53E9A">
      <w:pPr>
        <w:spacing w:line="360" w:lineRule="auto"/>
        <w:ind w:firstLineChars="200" w:firstLine="420"/>
      </w:pPr>
      <w:r>
        <w:rPr>
          <w:rFonts w:hint="eastAsia"/>
        </w:rPr>
        <w:t>目前的市场很不好，中概股私有化很难进行下去，因为你不知道市场的底在哪里，你也不好去估值，所以不止一些正在进行的中概股私有化项目计划被迫暂停，一些试图进去捞钱的资金和机构们的合作也被迫搁浅。美国也是经历了一轮创业泡沫、互联网泡沫，才沉淀下来了微软、苹果这样的公司。</w:t>
      </w:r>
      <w:r>
        <w:rPr>
          <w:rFonts w:hint="eastAsia"/>
        </w:rPr>
        <w:t xml:space="preserve"> </w:t>
      </w:r>
    </w:p>
    <w:p w:rsidR="00543DE4" w:rsidRDefault="00B53E9A" w:rsidP="00746992">
      <w:pPr>
        <w:spacing w:line="360" w:lineRule="auto"/>
        <w:ind w:firstLineChars="200" w:firstLine="422"/>
        <w:rPr>
          <w:b/>
          <w:bCs/>
        </w:rPr>
      </w:pPr>
      <w:r>
        <w:rPr>
          <w:rFonts w:hint="eastAsia"/>
          <w:b/>
          <w:bCs/>
        </w:rPr>
        <w:t>中概股预测</w:t>
      </w:r>
      <w:r>
        <w:rPr>
          <w:rFonts w:hint="eastAsia"/>
          <w:b/>
          <w:bCs/>
        </w:rPr>
        <w:t>:</w:t>
      </w:r>
    </w:p>
    <w:p w:rsidR="00543DE4" w:rsidRDefault="00B53E9A">
      <w:pPr>
        <w:spacing w:line="360" w:lineRule="auto"/>
        <w:ind w:firstLineChars="200" w:firstLine="420"/>
      </w:pPr>
      <w:r>
        <w:rPr>
          <w:rFonts w:hint="eastAsia"/>
        </w:rPr>
        <w:t>哪些公司回归可能性更大？</w:t>
      </w:r>
      <w:r>
        <w:rPr>
          <w:rFonts w:hint="eastAsia"/>
        </w:rPr>
        <w:t xml:space="preserve"> </w:t>
      </w:r>
    </w:p>
    <w:p w:rsidR="00543DE4" w:rsidRDefault="00B53E9A">
      <w:pPr>
        <w:spacing w:line="360" w:lineRule="auto"/>
        <w:ind w:firstLineChars="200" w:firstLine="420"/>
      </w:pPr>
      <w:r>
        <w:rPr>
          <w:rFonts w:hint="eastAsia"/>
        </w:rPr>
        <w:t>中金公司在策</w:t>
      </w:r>
      <w:r>
        <w:rPr>
          <w:rFonts w:hint="eastAsia"/>
        </w:rPr>
        <w:t>略研报中表示，一般要满足四个条件：公司市值较小、股权相对集中、外资股东支持、公司稀缺性和行业发展性以及</w:t>
      </w:r>
      <w:r>
        <w:rPr>
          <w:rFonts w:hint="eastAsia"/>
        </w:rPr>
        <w:t>A</w:t>
      </w:r>
      <w:r>
        <w:rPr>
          <w:rFonts w:hint="eastAsia"/>
        </w:rPr>
        <w:t>股所属行业和对应公司有充分的估值溢价。</w:t>
      </w:r>
      <w:r>
        <w:rPr>
          <w:rFonts w:hint="eastAsia"/>
        </w:rPr>
        <w:t xml:space="preserve"> </w:t>
      </w:r>
    </w:p>
    <w:p w:rsidR="00543DE4" w:rsidRDefault="00B53E9A">
      <w:pPr>
        <w:spacing w:line="360" w:lineRule="auto"/>
        <w:ind w:firstLineChars="200" w:firstLine="420"/>
      </w:pPr>
      <w:r>
        <w:rPr>
          <w:rFonts w:hint="eastAsia"/>
        </w:rPr>
        <w:t>国内情况对中概股回国的利弊：</w:t>
      </w:r>
      <w:r>
        <w:rPr>
          <w:rFonts w:hint="eastAsia"/>
        </w:rPr>
        <w:t xml:space="preserve"> </w:t>
      </w:r>
    </w:p>
    <w:p w:rsidR="00543DE4" w:rsidRDefault="00B53E9A">
      <w:pPr>
        <w:spacing w:line="360" w:lineRule="auto"/>
        <w:ind w:firstLineChars="200" w:firstLine="420"/>
      </w:pPr>
      <w:r>
        <w:rPr>
          <w:rFonts w:hint="eastAsia"/>
        </w:rPr>
        <w:t>国内资金不可能贸然为回归的中概股接盘，这也是目前部分中概股私有化回归计划暂停的主要原因。</w:t>
      </w:r>
      <w:r>
        <w:rPr>
          <w:rFonts w:hint="eastAsia"/>
        </w:rPr>
        <w:t xml:space="preserve"> </w:t>
      </w:r>
    </w:p>
    <w:p w:rsidR="00543DE4" w:rsidRDefault="00B53E9A">
      <w:pPr>
        <w:spacing w:line="360" w:lineRule="auto"/>
        <w:ind w:firstLineChars="200" w:firstLine="420"/>
      </w:pPr>
      <w:r>
        <w:rPr>
          <w:rFonts w:hint="eastAsia"/>
        </w:rPr>
        <w:t>充足的资金来源才是是成功的最大保证资本市场的动荡，基本意味着融资的寒冬期到来，投资机构出手会越来越谨慎，高估值的创业状态基本将一去不复返。</w:t>
      </w:r>
      <w:r>
        <w:rPr>
          <w:rFonts w:hint="eastAsia"/>
        </w:rPr>
        <w:t xml:space="preserve"> </w:t>
      </w:r>
    </w:p>
    <w:p w:rsidR="00543DE4" w:rsidRDefault="00B53E9A">
      <w:pPr>
        <w:spacing w:line="360" w:lineRule="auto"/>
        <w:ind w:firstLineChars="200" w:firstLine="420"/>
      </w:pPr>
      <w:r>
        <w:rPr>
          <w:rFonts w:hint="eastAsia"/>
        </w:rPr>
        <w:t>尽管</w:t>
      </w:r>
      <w:r>
        <w:rPr>
          <w:rFonts w:hint="eastAsia"/>
        </w:rPr>
        <w:t>A</w:t>
      </w:r>
      <w:r>
        <w:rPr>
          <w:rFonts w:hint="eastAsia"/>
        </w:rPr>
        <w:t>股出现了幅度不小的下跌，但其整体估值相对美股来说仍然处于较高的水平，而且股价大幅下挫使得“壳资</w:t>
      </w:r>
      <w:r>
        <w:rPr>
          <w:rFonts w:hint="eastAsia"/>
        </w:rPr>
        <w:t>源”由卖方市场变为买方市场，这将在很大程度上降低借壳成本，让中概股回归之路更加平坦。</w:t>
      </w:r>
      <w:r>
        <w:rPr>
          <w:rFonts w:hint="eastAsia"/>
        </w:rPr>
        <w:t xml:space="preserve"> </w:t>
      </w:r>
    </w:p>
    <w:p w:rsidR="00543DE4" w:rsidRPr="00746992" w:rsidRDefault="00B53E9A">
      <w:pPr>
        <w:spacing w:line="360" w:lineRule="auto"/>
        <w:rPr>
          <w:b/>
          <w:bCs/>
        </w:rPr>
      </w:pPr>
      <w:r>
        <w:rPr>
          <w:rFonts w:hint="eastAsia"/>
          <w:b/>
          <w:bCs/>
        </w:rPr>
        <w:t>四、</w:t>
      </w:r>
      <w:r w:rsidR="00746992">
        <w:rPr>
          <w:rFonts w:hint="eastAsia"/>
          <w:b/>
          <w:bCs/>
        </w:rPr>
        <w:t>民企大观园</w:t>
      </w:r>
    </w:p>
    <w:p w:rsidR="00543DE4" w:rsidRDefault="00B53E9A">
      <w:pPr>
        <w:spacing w:line="360" w:lineRule="auto"/>
        <w:ind w:firstLineChars="200" w:firstLine="420"/>
      </w:pPr>
      <w:bookmarkStart w:id="0" w:name="_Toc11543"/>
      <w:r>
        <w:rPr>
          <w:rFonts w:hint="eastAsia"/>
        </w:rPr>
        <w:t>19</w:t>
      </w:r>
      <w:r>
        <w:rPr>
          <w:rFonts w:hint="eastAsia"/>
        </w:rPr>
        <w:t>部门：支持电商等各类资本发展农村电子商务</w:t>
      </w:r>
      <w:bookmarkEnd w:id="0"/>
    </w:p>
    <w:p w:rsidR="00543DE4" w:rsidRDefault="00B53E9A" w:rsidP="00746992">
      <w:pPr>
        <w:spacing w:line="360" w:lineRule="auto"/>
        <w:ind w:firstLineChars="200" w:firstLine="420"/>
      </w:pPr>
      <w:r>
        <w:rPr>
          <w:rFonts w:hint="eastAsia"/>
        </w:rPr>
        <w:t xml:space="preserve">　中新网</w:t>
      </w:r>
      <w:r>
        <w:rPr>
          <w:rFonts w:hint="eastAsia"/>
        </w:rPr>
        <w:t>8</w:t>
      </w:r>
      <w:r>
        <w:rPr>
          <w:rFonts w:hint="eastAsia"/>
        </w:rPr>
        <w:t>月</w:t>
      </w:r>
      <w:r>
        <w:rPr>
          <w:rFonts w:hint="eastAsia"/>
        </w:rPr>
        <w:t>31</w:t>
      </w:r>
      <w:r>
        <w:rPr>
          <w:rFonts w:hint="eastAsia"/>
        </w:rPr>
        <w:t>日电</w:t>
      </w:r>
      <w:r>
        <w:rPr>
          <w:rFonts w:hint="eastAsia"/>
        </w:rPr>
        <w:t xml:space="preserve"> </w:t>
      </w:r>
      <w:r>
        <w:rPr>
          <w:rFonts w:hint="eastAsia"/>
        </w:rPr>
        <w:t>据商务部网站消息，商务部等</w:t>
      </w:r>
      <w:r>
        <w:rPr>
          <w:rFonts w:hint="eastAsia"/>
        </w:rPr>
        <w:t>19</w:t>
      </w:r>
      <w:r>
        <w:rPr>
          <w:rFonts w:hint="eastAsia"/>
        </w:rPr>
        <w:t>部门近日联合印发《关于加快发展农村电子商务的意见》，《意见》称，支持电商、物流、商贸、金融等各类资本发展农村电子商务。</w:t>
      </w:r>
    </w:p>
    <w:p w:rsidR="00543DE4" w:rsidRDefault="00B53E9A">
      <w:pPr>
        <w:spacing w:line="360" w:lineRule="auto"/>
        <w:ind w:firstLineChars="200" w:firstLine="420"/>
      </w:pPr>
      <w:r>
        <w:rPr>
          <w:rFonts w:hint="eastAsia"/>
        </w:rPr>
        <w:t>淘宝众筹上线零碳度假营地</w:t>
      </w:r>
    </w:p>
    <w:p w:rsidR="00543DE4" w:rsidRDefault="00B53E9A" w:rsidP="00746992">
      <w:pPr>
        <w:spacing w:line="360" w:lineRule="auto"/>
        <w:ind w:firstLineChars="200" w:firstLine="420"/>
      </w:pPr>
      <w:r>
        <w:rPr>
          <w:rFonts w:hint="eastAsia"/>
        </w:rPr>
        <w:t>8</w:t>
      </w:r>
      <w:r>
        <w:rPr>
          <w:rFonts w:hint="eastAsia"/>
        </w:rPr>
        <w:t>月</w:t>
      </w:r>
      <w:r>
        <w:rPr>
          <w:rFonts w:hint="eastAsia"/>
        </w:rPr>
        <w:t>31</w:t>
      </w:r>
      <w:r>
        <w:rPr>
          <w:rFonts w:hint="eastAsia"/>
        </w:rPr>
        <w:t>日消息，淘宝众筹今日正式上线“谜·零碳度假营地”，这是国内首个发起众筹的智能科技类度假项目。</w:t>
      </w:r>
    </w:p>
    <w:p w:rsidR="00543DE4" w:rsidRDefault="00B53E9A">
      <w:pPr>
        <w:spacing w:line="360" w:lineRule="auto"/>
        <w:ind w:firstLineChars="200" w:firstLine="420"/>
      </w:pPr>
      <w:bookmarkStart w:id="1" w:name="_Toc26148"/>
      <w:r>
        <w:rPr>
          <w:rFonts w:hint="eastAsia"/>
        </w:rPr>
        <w:t>苏宁中标国家电网办公采购项目</w:t>
      </w:r>
      <w:r>
        <w:rPr>
          <w:rFonts w:hint="eastAsia"/>
        </w:rPr>
        <w:t xml:space="preserve"> </w:t>
      </w:r>
      <w:r>
        <w:rPr>
          <w:rFonts w:hint="eastAsia"/>
        </w:rPr>
        <w:t>持续发力办公</w:t>
      </w:r>
      <w:r>
        <w:rPr>
          <w:rFonts w:hint="eastAsia"/>
        </w:rPr>
        <w:t>O2O</w:t>
      </w:r>
      <w:r>
        <w:rPr>
          <w:rFonts w:hint="eastAsia"/>
        </w:rPr>
        <w:t>市场</w:t>
      </w:r>
      <w:bookmarkEnd w:id="1"/>
    </w:p>
    <w:p w:rsidR="00543DE4" w:rsidRDefault="00B53E9A" w:rsidP="00746992">
      <w:pPr>
        <w:spacing w:line="360" w:lineRule="auto"/>
        <w:ind w:firstLineChars="200" w:firstLine="420"/>
      </w:pPr>
      <w:r>
        <w:rPr>
          <w:rFonts w:hint="eastAsia"/>
        </w:rPr>
        <w:t xml:space="preserve"> 8</w:t>
      </w:r>
      <w:r>
        <w:rPr>
          <w:rFonts w:hint="eastAsia"/>
        </w:rPr>
        <w:t>月</w:t>
      </w:r>
      <w:r>
        <w:rPr>
          <w:rFonts w:hint="eastAsia"/>
        </w:rPr>
        <w:t>28</w:t>
      </w:r>
      <w:r>
        <w:rPr>
          <w:rFonts w:hint="eastAsia"/>
        </w:rPr>
        <w:t>日，国家电网发布公告，经评审委员会评审并报国家电网公司招标领导小组批准，苏宁云商成功中标国家电网</w:t>
      </w:r>
      <w:r>
        <w:rPr>
          <w:rFonts w:hint="eastAsia"/>
        </w:rPr>
        <w:t>2015</w:t>
      </w:r>
      <w:r>
        <w:rPr>
          <w:rFonts w:hint="eastAsia"/>
        </w:rPr>
        <w:t>年度办公类物质竞争性谈判采购项目。据悉，这是继</w:t>
      </w:r>
      <w:r>
        <w:rPr>
          <w:rFonts w:hint="eastAsia"/>
        </w:rPr>
        <w:t>8</w:t>
      </w:r>
      <w:r>
        <w:rPr>
          <w:rFonts w:hint="eastAsia"/>
        </w:rPr>
        <w:t>月</w:t>
      </w:r>
      <w:r>
        <w:rPr>
          <w:rFonts w:hint="eastAsia"/>
        </w:rPr>
        <w:t>5</w:t>
      </w:r>
      <w:r>
        <w:rPr>
          <w:rFonts w:hint="eastAsia"/>
        </w:rPr>
        <w:t>日苏宁与史泰博战略合作后，苏宁发力企业用户办公市场的又一重大动作。</w:t>
      </w:r>
    </w:p>
    <w:p w:rsidR="00543DE4" w:rsidRDefault="00B53E9A">
      <w:pPr>
        <w:spacing w:line="360" w:lineRule="auto"/>
        <w:ind w:firstLineChars="200" w:firstLine="420"/>
      </w:pPr>
      <w:bookmarkStart w:id="2" w:name="_Toc1121"/>
      <w:r>
        <w:rPr>
          <w:rFonts w:hint="eastAsia"/>
        </w:rPr>
        <w:lastRenderedPageBreak/>
        <w:t>唯品会二季度营收</w:t>
      </w:r>
      <w:r>
        <w:rPr>
          <w:rFonts w:hint="eastAsia"/>
        </w:rPr>
        <w:t>90</w:t>
      </w:r>
      <w:r>
        <w:rPr>
          <w:rFonts w:hint="eastAsia"/>
        </w:rPr>
        <w:t>亿元人民币</w:t>
      </w:r>
      <w:r>
        <w:rPr>
          <w:rFonts w:hint="eastAsia"/>
        </w:rPr>
        <w:t xml:space="preserve"> </w:t>
      </w:r>
      <w:r>
        <w:rPr>
          <w:rFonts w:hint="eastAsia"/>
        </w:rPr>
        <w:t>同比增长</w:t>
      </w:r>
      <w:r>
        <w:rPr>
          <w:rFonts w:hint="eastAsia"/>
        </w:rPr>
        <w:t>77.6%</w:t>
      </w:r>
      <w:bookmarkEnd w:id="2"/>
    </w:p>
    <w:p w:rsidR="00543DE4" w:rsidRDefault="00B53E9A" w:rsidP="00746992">
      <w:pPr>
        <w:spacing w:line="360" w:lineRule="auto"/>
        <w:ind w:firstLineChars="200" w:firstLine="420"/>
      </w:pPr>
      <w:r>
        <w:rPr>
          <w:rFonts w:hint="eastAsia"/>
        </w:rPr>
        <w:t>8</w:t>
      </w:r>
      <w:r>
        <w:rPr>
          <w:rFonts w:hint="eastAsia"/>
        </w:rPr>
        <w:t>月</w:t>
      </w:r>
      <w:r>
        <w:rPr>
          <w:rFonts w:hint="eastAsia"/>
        </w:rPr>
        <w:t>11</w:t>
      </w:r>
      <w:r>
        <w:rPr>
          <w:rFonts w:hint="eastAsia"/>
        </w:rPr>
        <w:t>日凌晨消息，唯品会</w:t>
      </w:r>
      <w:r>
        <w:rPr>
          <w:rFonts w:hint="eastAsia"/>
        </w:rPr>
        <w:t>(NYSE:VIPS)</w:t>
      </w:r>
      <w:r>
        <w:rPr>
          <w:rFonts w:hint="eastAsia"/>
        </w:rPr>
        <w:t>今天发布了截至</w:t>
      </w:r>
      <w:r>
        <w:rPr>
          <w:rFonts w:hint="eastAsia"/>
        </w:rPr>
        <w:t>6</w:t>
      </w:r>
      <w:r>
        <w:rPr>
          <w:rFonts w:hint="eastAsia"/>
        </w:rPr>
        <w:t>月</w:t>
      </w:r>
      <w:r>
        <w:rPr>
          <w:rFonts w:hint="eastAsia"/>
        </w:rPr>
        <w:t>30</w:t>
      </w:r>
      <w:r>
        <w:rPr>
          <w:rFonts w:hint="eastAsia"/>
        </w:rPr>
        <w:t>日的</w:t>
      </w:r>
      <w:r>
        <w:rPr>
          <w:rFonts w:hint="eastAsia"/>
        </w:rPr>
        <w:t>2015</w:t>
      </w:r>
      <w:r>
        <w:rPr>
          <w:rFonts w:hint="eastAsia"/>
        </w:rPr>
        <w:t>财年第二季度未经审计的财报。报告显示，唯品会第二季度总净营收为</w:t>
      </w:r>
      <w:r>
        <w:rPr>
          <w:rFonts w:hint="eastAsia"/>
        </w:rPr>
        <w:t>90</w:t>
      </w:r>
      <w:r>
        <w:rPr>
          <w:rFonts w:hint="eastAsia"/>
        </w:rPr>
        <w:t>亿元人民币（约合</w:t>
      </w:r>
      <w:r>
        <w:rPr>
          <w:rFonts w:hint="eastAsia"/>
        </w:rPr>
        <w:t>15</w:t>
      </w:r>
      <w:r>
        <w:rPr>
          <w:rFonts w:hint="eastAsia"/>
        </w:rPr>
        <w:t>亿美元），比去年同期的</w:t>
      </w:r>
      <w:r>
        <w:rPr>
          <w:rFonts w:hint="eastAsia"/>
        </w:rPr>
        <w:t>51</w:t>
      </w:r>
      <w:r>
        <w:rPr>
          <w:rFonts w:hint="eastAsia"/>
        </w:rPr>
        <w:t>亿元人民币增长</w:t>
      </w:r>
      <w:r>
        <w:rPr>
          <w:rFonts w:hint="eastAsia"/>
        </w:rPr>
        <w:t>77.6%</w:t>
      </w:r>
      <w:r>
        <w:rPr>
          <w:rFonts w:hint="eastAsia"/>
        </w:rPr>
        <w:t>；归属</w:t>
      </w:r>
      <w:r>
        <w:rPr>
          <w:rFonts w:hint="eastAsia"/>
        </w:rPr>
        <w:t>于唯品会普通股股东的净利润为</w:t>
      </w:r>
      <w:r>
        <w:rPr>
          <w:rFonts w:hint="eastAsia"/>
        </w:rPr>
        <w:t>3.993</w:t>
      </w:r>
      <w:r>
        <w:rPr>
          <w:rFonts w:hint="eastAsia"/>
        </w:rPr>
        <w:t>亿元人民币（约合</w:t>
      </w:r>
      <w:r>
        <w:rPr>
          <w:rFonts w:hint="eastAsia"/>
        </w:rPr>
        <w:t>6440</w:t>
      </w:r>
      <w:r>
        <w:rPr>
          <w:rFonts w:hint="eastAsia"/>
        </w:rPr>
        <w:t>万美元），比去年同期的</w:t>
      </w:r>
      <w:r>
        <w:rPr>
          <w:rFonts w:hint="eastAsia"/>
        </w:rPr>
        <w:t>1.615</w:t>
      </w:r>
      <w:r>
        <w:rPr>
          <w:rFonts w:hint="eastAsia"/>
        </w:rPr>
        <w:t>亿元人民币增长</w:t>
      </w:r>
      <w:r>
        <w:rPr>
          <w:rFonts w:hint="eastAsia"/>
        </w:rPr>
        <w:t>147.2%</w:t>
      </w:r>
      <w:r>
        <w:rPr>
          <w:rFonts w:hint="eastAsia"/>
        </w:rPr>
        <w:t>。</w:t>
      </w:r>
    </w:p>
    <w:p w:rsidR="00543DE4" w:rsidRDefault="00B53E9A">
      <w:pPr>
        <w:spacing w:line="360" w:lineRule="auto"/>
        <w:ind w:firstLineChars="200" w:firstLine="420"/>
      </w:pPr>
      <w:r>
        <w:rPr>
          <w:rFonts w:hint="eastAsia"/>
        </w:rPr>
        <w:t>民企信息：</w:t>
      </w:r>
    </w:p>
    <w:p w:rsidR="00543DE4" w:rsidRDefault="00B53E9A">
      <w:pPr>
        <w:spacing w:line="360" w:lineRule="auto"/>
        <w:ind w:firstLineChars="200" w:firstLine="420"/>
      </w:pPr>
      <w:r>
        <w:rPr>
          <w:rFonts w:hint="eastAsia"/>
        </w:rPr>
        <w:t>央企地产混改潮：民企担心“为他人做嫁衣”</w:t>
      </w:r>
    </w:p>
    <w:p w:rsidR="00543DE4" w:rsidRDefault="00B53E9A">
      <w:pPr>
        <w:spacing w:line="360" w:lineRule="auto"/>
        <w:ind w:firstLineChars="200" w:firstLine="420"/>
      </w:pPr>
      <w:r>
        <w:rPr>
          <w:rFonts w:hint="eastAsia"/>
        </w:rPr>
        <w:t>一些央企内部人士认为，涉足混改，意味着大股东超过</w:t>
      </w:r>
      <w:r>
        <w:rPr>
          <w:rFonts w:hint="eastAsia"/>
        </w:rPr>
        <w:t>50%</w:t>
      </w:r>
      <w:r>
        <w:rPr>
          <w:rFonts w:hint="eastAsia"/>
        </w:rPr>
        <w:t>的股权结构肯定要改变，为保持公司既定发展方针的持续性，理想状态是，几个国有大股东形成一致行动人，拥有低于</w:t>
      </w:r>
      <w:r>
        <w:rPr>
          <w:rFonts w:hint="eastAsia"/>
        </w:rPr>
        <w:t>50%</w:t>
      </w:r>
      <w:r>
        <w:rPr>
          <w:rFonts w:hint="eastAsia"/>
        </w:rPr>
        <w:t>的控制权，由管理层进行日常经营管理，便如绿地那样。</w:t>
      </w:r>
    </w:p>
    <w:p w:rsidR="00543DE4" w:rsidRDefault="00B53E9A">
      <w:pPr>
        <w:spacing w:line="360" w:lineRule="auto"/>
        <w:ind w:firstLineChars="200" w:firstLine="420"/>
      </w:pPr>
      <w:r>
        <w:rPr>
          <w:rFonts w:hint="eastAsia"/>
        </w:rPr>
        <w:t>收费减免政策落地</w:t>
      </w:r>
      <w:r>
        <w:rPr>
          <w:rFonts w:hint="eastAsia"/>
        </w:rPr>
        <w:t xml:space="preserve"> </w:t>
      </w:r>
      <w:r>
        <w:rPr>
          <w:rFonts w:hint="eastAsia"/>
        </w:rPr>
        <w:t>湖南企业每年减负近</w:t>
      </w:r>
      <w:r>
        <w:rPr>
          <w:rFonts w:hint="eastAsia"/>
        </w:rPr>
        <w:t>8</w:t>
      </w:r>
      <w:r>
        <w:rPr>
          <w:rFonts w:hint="eastAsia"/>
        </w:rPr>
        <w:t>亿元</w:t>
      </w:r>
    </w:p>
    <w:p w:rsidR="00543DE4" w:rsidRDefault="00B53E9A" w:rsidP="00746992">
      <w:pPr>
        <w:spacing w:line="360" w:lineRule="auto"/>
        <w:ind w:firstLineChars="200" w:firstLine="420"/>
      </w:pPr>
      <w:r>
        <w:rPr>
          <w:rFonts w:hint="eastAsia"/>
        </w:rPr>
        <w:t>今天，湖南省发改委对外介绍，今年来，为激发市场活力、优化企业发展环境、促</w:t>
      </w:r>
      <w:r>
        <w:rPr>
          <w:rFonts w:hint="eastAsia"/>
        </w:rPr>
        <w:t>进湖南经济企稳向好，省发改委会同有关部门以清费治乱为抓手，出台了一系列收费减免政策，全年可为社会减负近</w:t>
      </w:r>
      <w:r>
        <w:rPr>
          <w:rFonts w:hint="eastAsia"/>
        </w:rPr>
        <w:t>8</w:t>
      </w:r>
      <w:r>
        <w:rPr>
          <w:rFonts w:hint="eastAsia"/>
        </w:rPr>
        <w:t>亿元，为稳增长、促改革、调结构、惠民生提供了有力支撑。</w:t>
      </w:r>
    </w:p>
    <w:p w:rsidR="00543DE4" w:rsidRDefault="00B53E9A">
      <w:pPr>
        <w:spacing w:line="360" w:lineRule="auto"/>
        <w:ind w:firstLineChars="200" w:firstLine="420"/>
      </w:pPr>
      <w:r>
        <w:rPr>
          <w:rFonts w:hint="eastAsia"/>
        </w:rPr>
        <w:t>云南省出台</w:t>
      </w:r>
      <w:r>
        <w:rPr>
          <w:rFonts w:hint="eastAsia"/>
        </w:rPr>
        <w:t>19</w:t>
      </w:r>
      <w:r>
        <w:rPr>
          <w:rFonts w:hint="eastAsia"/>
        </w:rPr>
        <w:t>条措施促进民营经济发展</w:t>
      </w:r>
    </w:p>
    <w:p w:rsidR="00543DE4" w:rsidRDefault="00B53E9A">
      <w:pPr>
        <w:spacing w:line="360" w:lineRule="auto"/>
        <w:ind w:firstLineChars="200" w:firstLine="420"/>
      </w:pPr>
      <w:r>
        <w:rPr>
          <w:rFonts w:hint="eastAsia"/>
        </w:rPr>
        <w:t xml:space="preserve"> </w:t>
      </w:r>
      <w:r>
        <w:rPr>
          <w:rFonts w:hint="eastAsia"/>
        </w:rPr>
        <w:t>《意见》提出了</w:t>
      </w:r>
      <w:r>
        <w:rPr>
          <w:rFonts w:hint="eastAsia"/>
        </w:rPr>
        <w:t>5</w:t>
      </w:r>
      <w:r>
        <w:rPr>
          <w:rFonts w:hint="eastAsia"/>
        </w:rPr>
        <w:t>个方面共</w:t>
      </w:r>
      <w:r>
        <w:rPr>
          <w:rFonts w:hint="eastAsia"/>
        </w:rPr>
        <w:t>19</w:t>
      </w:r>
      <w:r>
        <w:rPr>
          <w:rFonts w:hint="eastAsia"/>
        </w:rPr>
        <w:t>条措施，包括：加大金融支持、拓宽融资渠道、帮助促销降本、强化用地保障、优化财税政策、实行社保优惠、深化商事制度改革、支持创办小微企业、大力发展创业创新服务、扩大民间投资领域、推进国企民企协同发展、支持民营企业转型发展、</w:t>
      </w:r>
      <w:r>
        <w:rPr>
          <w:rFonts w:hint="eastAsia"/>
        </w:rPr>
        <w:t xml:space="preserve"> </w:t>
      </w:r>
      <w:r>
        <w:rPr>
          <w:rFonts w:hint="eastAsia"/>
        </w:rPr>
        <w:t>加强品牌标准质量建设、加大民营企业人才培养、鼓励扩大对外开放合</w:t>
      </w:r>
      <w:r>
        <w:rPr>
          <w:rFonts w:hint="eastAsia"/>
        </w:rPr>
        <w:t>作、加强组织领导、推动简政放权、保障合法权益、狠抓政策落地。</w:t>
      </w:r>
    </w:p>
    <w:p w:rsidR="00543DE4" w:rsidRDefault="00B53E9A" w:rsidP="00746992">
      <w:pPr>
        <w:spacing w:beforeLines="100" w:afterLines="100"/>
        <w:rPr>
          <w:b/>
          <w:sz w:val="24"/>
          <w:szCs w:val="24"/>
        </w:rPr>
      </w:pPr>
      <w:r>
        <w:rPr>
          <w:rFonts w:hint="eastAsia"/>
          <w:b/>
          <w:sz w:val="24"/>
          <w:szCs w:val="24"/>
        </w:rPr>
        <w:t>五、</w:t>
      </w:r>
      <w:r>
        <w:rPr>
          <w:rFonts w:hint="eastAsia"/>
          <w:b/>
          <w:sz w:val="24"/>
          <w:szCs w:val="24"/>
        </w:rPr>
        <w:t xml:space="preserve"> </w:t>
      </w:r>
      <w:r>
        <w:rPr>
          <w:rFonts w:hint="eastAsia"/>
          <w:b/>
          <w:sz w:val="24"/>
          <w:szCs w:val="24"/>
        </w:rPr>
        <w:t>九月份投资指南</w:t>
      </w:r>
    </w:p>
    <w:p w:rsidR="00543DE4" w:rsidRDefault="00B53E9A" w:rsidP="00746992">
      <w:pPr>
        <w:spacing w:beforeLines="50" w:afterLines="50"/>
        <w:ind w:firstLineChars="200" w:firstLine="422"/>
        <w:rPr>
          <w:rFonts w:ascii="宋体" w:hAnsi="宋体"/>
          <w:b/>
          <w:szCs w:val="21"/>
        </w:rPr>
      </w:pPr>
      <w:r>
        <w:rPr>
          <w:rFonts w:ascii="宋体" w:hAnsi="宋体" w:hint="eastAsia"/>
          <w:b/>
          <w:szCs w:val="21"/>
        </w:rPr>
        <w:t xml:space="preserve">1. </w:t>
      </w:r>
      <w:r>
        <w:rPr>
          <w:rFonts w:ascii="宋体" w:hAnsi="宋体" w:hint="eastAsia"/>
          <w:b/>
          <w:szCs w:val="21"/>
        </w:rPr>
        <w:t>后市展望</w:t>
      </w:r>
    </w:p>
    <w:p w:rsidR="00543DE4" w:rsidRDefault="00B53E9A">
      <w:pPr>
        <w:spacing w:line="360" w:lineRule="auto"/>
        <w:ind w:firstLineChars="200" w:firstLine="420"/>
        <w:rPr>
          <w:rFonts w:ascii="宋体" w:hAnsi="宋体"/>
          <w:szCs w:val="21"/>
        </w:rPr>
      </w:pPr>
      <w:r>
        <w:rPr>
          <w:rFonts w:ascii="宋体" w:hAnsi="宋体" w:hint="eastAsia"/>
          <w:szCs w:val="21"/>
        </w:rPr>
        <w:t>本月初两市曾出现一波反弹，但在到达</w:t>
      </w:r>
      <w:r>
        <w:rPr>
          <w:rFonts w:ascii="宋体" w:hAnsi="宋体" w:hint="eastAsia"/>
          <w:szCs w:val="21"/>
        </w:rPr>
        <w:t>4000</w:t>
      </w:r>
      <w:r>
        <w:rPr>
          <w:rFonts w:ascii="宋体" w:hAnsi="宋体" w:hint="eastAsia"/>
          <w:szCs w:val="21"/>
        </w:rPr>
        <w:t>点关口之际，证金公司发表声明称不轻易出手干预市场，被市场解读为利空，而此时央行也开始连续三天大幅调低人民币汇率中间价，国内外投资者对中国资本市场和全球经济复苏以及货币战争的担忧快速加剧，（本月中旬）股市因此再次暴跌；国际市场方面，股市、大宗商品、原油、黄金等均出现大调整，恐慌情绪明显上升。月底，市场在跌至</w:t>
      </w:r>
      <w:r>
        <w:rPr>
          <w:rFonts w:ascii="宋体" w:hAnsi="宋体" w:hint="eastAsia"/>
          <w:szCs w:val="21"/>
        </w:rPr>
        <w:t>2850</w:t>
      </w:r>
      <w:r>
        <w:rPr>
          <w:rFonts w:ascii="宋体" w:hAnsi="宋体" w:hint="eastAsia"/>
          <w:szCs w:val="21"/>
        </w:rPr>
        <w:t>点后迎来了一小波反弹。</w:t>
      </w:r>
    </w:p>
    <w:p w:rsidR="00543DE4" w:rsidRDefault="00B53E9A">
      <w:pPr>
        <w:spacing w:line="360" w:lineRule="auto"/>
        <w:ind w:firstLineChars="200" w:firstLine="420"/>
        <w:rPr>
          <w:rFonts w:ascii="宋体" w:hAnsi="宋体"/>
          <w:szCs w:val="21"/>
        </w:rPr>
      </w:pPr>
      <w:r>
        <w:rPr>
          <w:rFonts w:ascii="宋体" w:hAnsi="宋体" w:hint="eastAsia"/>
          <w:szCs w:val="21"/>
        </w:rPr>
        <w:t>本月，上证综指、深证成指、中小板指数、创业板指数月线均出现了明显的下影线，且技术指标</w:t>
      </w:r>
      <w:r>
        <w:rPr>
          <w:rFonts w:ascii="宋体" w:hAnsi="宋体" w:hint="eastAsia"/>
          <w:szCs w:val="21"/>
        </w:rPr>
        <w:t>RSI</w:t>
      </w:r>
      <w:r>
        <w:rPr>
          <w:rFonts w:ascii="宋体" w:hAnsi="宋体" w:hint="eastAsia"/>
          <w:szCs w:val="21"/>
        </w:rPr>
        <w:t>、</w:t>
      </w:r>
      <w:r>
        <w:rPr>
          <w:rFonts w:ascii="宋体" w:hAnsi="宋体" w:hint="eastAsia"/>
          <w:szCs w:val="21"/>
        </w:rPr>
        <w:t>KDJ</w:t>
      </w:r>
      <w:r>
        <w:rPr>
          <w:rFonts w:ascii="宋体" w:hAnsi="宋体" w:hint="eastAsia"/>
          <w:szCs w:val="21"/>
        </w:rPr>
        <w:t>显示市场进入超卖区间，日线级别乖离率也较大，显示市场有反抽短期</w:t>
      </w:r>
      <w:r>
        <w:rPr>
          <w:rFonts w:ascii="宋体" w:hAnsi="宋体" w:hint="eastAsia"/>
          <w:szCs w:val="21"/>
        </w:rPr>
        <w:lastRenderedPageBreak/>
        <w:t>均线的可能，因此</w:t>
      </w:r>
      <w:r>
        <w:rPr>
          <w:rFonts w:ascii="宋体" w:hAnsi="宋体" w:hint="eastAsia"/>
          <w:szCs w:val="21"/>
        </w:rPr>
        <w:t>9</w:t>
      </w:r>
      <w:r>
        <w:rPr>
          <w:rFonts w:ascii="宋体" w:hAnsi="宋体" w:hint="eastAsia"/>
          <w:szCs w:val="21"/>
        </w:rPr>
        <w:t>月上旬反弹可期；而阅兵之后，中美对话、国企改革等重磅事件和宏观经济数据将在很大程度上决定下半月市场走势；国际方面，重点关注美联储的动向。</w:t>
      </w:r>
    </w:p>
    <w:p w:rsidR="00543DE4" w:rsidRDefault="00B53E9A">
      <w:pPr>
        <w:spacing w:line="360" w:lineRule="auto"/>
        <w:ind w:firstLineChars="200" w:firstLine="420"/>
        <w:rPr>
          <w:rFonts w:ascii="宋体" w:hAnsi="宋体"/>
          <w:szCs w:val="21"/>
        </w:rPr>
      </w:pPr>
      <w:r>
        <w:rPr>
          <w:rFonts w:ascii="宋体" w:hAnsi="宋体" w:hint="eastAsia"/>
          <w:szCs w:val="21"/>
        </w:rPr>
        <w:t>上证综指今年</w:t>
      </w:r>
      <w:r>
        <w:rPr>
          <w:rFonts w:ascii="宋体" w:hAnsi="宋体" w:hint="eastAsia"/>
          <w:szCs w:val="21"/>
        </w:rPr>
        <w:t>1</w:t>
      </w:r>
      <w:r>
        <w:rPr>
          <w:rFonts w:ascii="宋体" w:hAnsi="宋体" w:hint="eastAsia"/>
          <w:szCs w:val="21"/>
        </w:rPr>
        <w:t>月初到</w:t>
      </w:r>
      <w:r>
        <w:rPr>
          <w:rFonts w:ascii="宋体" w:hAnsi="宋体" w:hint="eastAsia"/>
          <w:szCs w:val="21"/>
        </w:rPr>
        <w:t>3</w:t>
      </w:r>
      <w:r>
        <w:rPr>
          <w:rFonts w:ascii="宋体" w:hAnsi="宋体" w:hint="eastAsia"/>
          <w:szCs w:val="21"/>
        </w:rPr>
        <w:t>月初的这段时间是股指冲顶前的蓄势期，其形成的支撑在</w:t>
      </w:r>
      <w:r>
        <w:rPr>
          <w:rFonts w:ascii="宋体" w:hAnsi="宋体" w:hint="eastAsia"/>
          <w:szCs w:val="21"/>
        </w:rPr>
        <w:t>3220-3280</w:t>
      </w:r>
      <w:r>
        <w:rPr>
          <w:rFonts w:ascii="宋体" w:hAnsi="宋体" w:hint="eastAsia"/>
          <w:szCs w:val="21"/>
        </w:rPr>
        <w:t>之间，而股指近期直接跳空低开大幅杀跌，将这里变成了中期压力区间，如果</w:t>
      </w:r>
      <w:r>
        <w:rPr>
          <w:rFonts w:ascii="宋体" w:hAnsi="宋体" w:hint="eastAsia"/>
          <w:szCs w:val="21"/>
        </w:rPr>
        <w:t>9</w:t>
      </w:r>
      <w:r>
        <w:rPr>
          <w:rFonts w:ascii="宋体" w:hAnsi="宋体" w:hint="eastAsia"/>
          <w:szCs w:val="21"/>
        </w:rPr>
        <w:t>月上旬无法冲高并站稳这一区间，市场持</w:t>
      </w:r>
      <w:r>
        <w:rPr>
          <w:rFonts w:ascii="宋体" w:hAnsi="宋体" w:hint="eastAsia"/>
          <w:szCs w:val="21"/>
        </w:rPr>
        <w:t>股信心将被空头逐步瓦解，从而导致指数再下一城。</w:t>
      </w:r>
    </w:p>
    <w:p w:rsidR="00543DE4" w:rsidRDefault="00B53E9A">
      <w:pPr>
        <w:spacing w:line="360" w:lineRule="auto"/>
        <w:rPr>
          <w:rFonts w:ascii="宋体" w:hAnsi="宋体"/>
          <w:szCs w:val="21"/>
        </w:rPr>
      </w:pPr>
      <w:r>
        <w:rPr>
          <w:rFonts w:ascii="宋体" w:hAnsi="宋体" w:hint="eastAsia"/>
          <w:szCs w:val="21"/>
        </w:rPr>
        <w:t>目前大部分个股的换手率都还比较高，也就意味着套牢盘越来越多，这些资金很有可能成为股指反弹的阻力。如果下半月能够继续反弹，则压力在</w:t>
      </w:r>
      <w:r>
        <w:rPr>
          <w:rFonts w:ascii="宋体" w:hAnsi="宋体" w:hint="eastAsia"/>
          <w:szCs w:val="21"/>
        </w:rPr>
        <w:t>8</w:t>
      </w:r>
      <w:r>
        <w:rPr>
          <w:rFonts w:ascii="宋体" w:hAnsi="宋体" w:hint="eastAsia"/>
          <w:szCs w:val="21"/>
        </w:rPr>
        <w:t>月</w:t>
      </w:r>
      <w:r>
        <w:rPr>
          <w:rFonts w:ascii="宋体" w:hAnsi="宋体" w:hint="eastAsia"/>
          <w:szCs w:val="21"/>
        </w:rPr>
        <w:t>21</w:t>
      </w:r>
      <w:r>
        <w:rPr>
          <w:rFonts w:ascii="宋体" w:hAnsi="宋体" w:hint="eastAsia"/>
          <w:szCs w:val="21"/>
        </w:rPr>
        <w:t>日和</w:t>
      </w:r>
      <w:r>
        <w:rPr>
          <w:rFonts w:ascii="宋体" w:hAnsi="宋体" w:hint="eastAsia"/>
          <w:szCs w:val="21"/>
        </w:rPr>
        <w:t>8</w:t>
      </w:r>
      <w:r>
        <w:rPr>
          <w:rFonts w:ascii="宋体" w:hAnsi="宋体" w:hint="eastAsia"/>
          <w:szCs w:val="21"/>
        </w:rPr>
        <w:t>月</w:t>
      </w:r>
      <w:r>
        <w:rPr>
          <w:rFonts w:ascii="宋体" w:hAnsi="宋体" w:hint="eastAsia"/>
          <w:szCs w:val="21"/>
        </w:rPr>
        <w:t>24</w:t>
      </w:r>
      <w:r>
        <w:rPr>
          <w:rFonts w:ascii="宋体" w:hAnsi="宋体" w:hint="eastAsia"/>
          <w:szCs w:val="21"/>
        </w:rPr>
        <w:t>之间的缺口处，即</w:t>
      </w:r>
      <w:r>
        <w:rPr>
          <w:rFonts w:ascii="宋体" w:hAnsi="宋体" w:hint="eastAsia"/>
          <w:szCs w:val="21"/>
        </w:rPr>
        <w:t>3388-3507</w:t>
      </w:r>
      <w:r>
        <w:rPr>
          <w:rFonts w:ascii="宋体" w:hAnsi="宋体" w:hint="eastAsia"/>
          <w:szCs w:val="21"/>
        </w:rPr>
        <w:t>这个区间，而年线</w:t>
      </w:r>
      <w:r>
        <w:rPr>
          <w:rFonts w:ascii="宋体" w:hAnsi="宋体" w:hint="eastAsia"/>
          <w:szCs w:val="21"/>
        </w:rPr>
        <w:t>9</w:t>
      </w:r>
      <w:r>
        <w:rPr>
          <w:rFonts w:ascii="宋体" w:hAnsi="宋体" w:hint="eastAsia"/>
          <w:szCs w:val="21"/>
        </w:rPr>
        <w:t>月下旬预计在</w:t>
      </w:r>
      <w:r>
        <w:rPr>
          <w:rFonts w:ascii="宋体" w:hAnsi="宋体" w:hint="eastAsia"/>
          <w:szCs w:val="21"/>
        </w:rPr>
        <w:t>3450</w:t>
      </w:r>
      <w:r>
        <w:rPr>
          <w:rFonts w:ascii="宋体" w:hAnsi="宋体" w:hint="eastAsia"/>
          <w:szCs w:val="21"/>
        </w:rPr>
        <w:t>附近，也对股指构成强压。</w:t>
      </w:r>
    </w:p>
    <w:p w:rsidR="00543DE4" w:rsidRDefault="00B53E9A">
      <w:pPr>
        <w:spacing w:line="360" w:lineRule="auto"/>
        <w:ind w:firstLineChars="200" w:firstLine="420"/>
        <w:rPr>
          <w:rFonts w:ascii="宋体" w:hAnsi="宋体"/>
          <w:szCs w:val="21"/>
        </w:rPr>
      </w:pPr>
      <w:r>
        <w:rPr>
          <w:rFonts w:ascii="宋体" w:hAnsi="宋体" w:hint="eastAsia"/>
          <w:szCs w:val="21"/>
        </w:rPr>
        <w:t>操作上，超跌后可少量买入优质蓝筹股，逢反弹卖出，快进快出，谨防反弹动力不足，再次下跌；坚决回避纯题材概念股和高估值中小创类个股。</w:t>
      </w:r>
    </w:p>
    <w:p w:rsidR="00543DE4" w:rsidRDefault="00B53E9A">
      <w:pPr>
        <w:spacing w:line="36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重点个股点评</w:t>
      </w:r>
    </w:p>
    <w:p w:rsidR="00543DE4" w:rsidRDefault="00B53E9A">
      <w:pPr>
        <w:spacing w:line="360" w:lineRule="auto"/>
        <w:ind w:firstLineChars="200" w:firstLine="420"/>
        <w:rPr>
          <w:rFonts w:ascii="宋体" w:hAnsi="宋体"/>
          <w:szCs w:val="21"/>
        </w:rPr>
      </w:pPr>
      <w:r>
        <w:rPr>
          <w:rFonts w:ascii="宋体" w:hAnsi="宋体" w:hint="eastAsia"/>
          <w:szCs w:val="21"/>
        </w:rPr>
        <w:t>三诺生物（</w:t>
      </w:r>
      <w:r>
        <w:rPr>
          <w:rFonts w:ascii="宋体" w:hAnsi="宋体" w:hint="eastAsia"/>
          <w:szCs w:val="21"/>
        </w:rPr>
        <w:t>300298</w:t>
      </w:r>
      <w:r>
        <w:rPr>
          <w:rFonts w:ascii="宋体" w:hAnsi="宋体" w:hint="eastAsia"/>
          <w:szCs w:val="21"/>
        </w:rPr>
        <w:t>）：国内血糖仪龙头企业，向医疗服务扩张，中线业绩</w:t>
      </w:r>
      <w:r>
        <w:rPr>
          <w:rFonts w:ascii="宋体" w:hAnsi="宋体" w:hint="eastAsia"/>
          <w:szCs w:val="21"/>
        </w:rPr>
        <w:t>有望持续增长，超跌后出现反弹，但短期均线仍快速下行，</w:t>
      </w:r>
      <w:r>
        <w:rPr>
          <w:rFonts w:ascii="宋体" w:hAnsi="宋体" w:hint="eastAsia"/>
          <w:szCs w:val="21"/>
        </w:rPr>
        <w:t xml:space="preserve"> 24</w:t>
      </w:r>
      <w:r>
        <w:rPr>
          <w:rFonts w:ascii="宋体" w:hAnsi="宋体" w:hint="eastAsia"/>
          <w:szCs w:val="21"/>
        </w:rPr>
        <w:t>元以下具备中线投资价值。</w:t>
      </w:r>
    </w:p>
    <w:p w:rsidR="00543DE4" w:rsidRDefault="00B53E9A">
      <w:pPr>
        <w:spacing w:line="360" w:lineRule="auto"/>
        <w:ind w:firstLineChars="200" w:firstLine="420"/>
        <w:rPr>
          <w:rFonts w:ascii="宋体" w:hAnsi="宋体"/>
          <w:szCs w:val="21"/>
        </w:rPr>
      </w:pPr>
      <w:r>
        <w:rPr>
          <w:rFonts w:ascii="宋体" w:hAnsi="宋体" w:hint="eastAsia"/>
          <w:szCs w:val="21"/>
        </w:rPr>
        <w:t>中兴通讯（</w:t>
      </w:r>
      <w:r>
        <w:rPr>
          <w:rFonts w:ascii="宋体" w:hAnsi="宋体" w:hint="eastAsia"/>
          <w:szCs w:val="21"/>
        </w:rPr>
        <w:t>000063</w:t>
      </w:r>
      <w:r>
        <w:rPr>
          <w:rFonts w:ascii="宋体" w:hAnsi="宋体" w:hint="eastAsia"/>
          <w:szCs w:val="21"/>
        </w:rPr>
        <w:t>）：</w:t>
      </w:r>
      <w:r>
        <w:rPr>
          <w:rFonts w:ascii="宋体" w:hAnsi="宋体" w:hint="eastAsia"/>
          <w:szCs w:val="21"/>
        </w:rPr>
        <w:t>A</w:t>
      </w:r>
      <w:r>
        <w:rPr>
          <w:rFonts w:ascii="宋体" w:hAnsi="宋体" w:hint="eastAsia"/>
          <w:szCs w:val="21"/>
        </w:rPr>
        <w:t>股通信设备行业龙头，多项新兴产业布局有望受到资本市场的持续关注，市值存在低估，中线</w:t>
      </w:r>
      <w:r>
        <w:rPr>
          <w:rFonts w:ascii="宋体" w:hAnsi="宋体" w:hint="eastAsia"/>
          <w:szCs w:val="21"/>
        </w:rPr>
        <w:t>15</w:t>
      </w:r>
      <w:r>
        <w:rPr>
          <w:rFonts w:ascii="宋体" w:hAnsi="宋体" w:hint="eastAsia"/>
          <w:szCs w:val="21"/>
        </w:rPr>
        <w:t>元以下可积极介入。</w:t>
      </w:r>
    </w:p>
    <w:p w:rsidR="00543DE4" w:rsidRDefault="00B53E9A">
      <w:pPr>
        <w:spacing w:line="360" w:lineRule="auto"/>
        <w:ind w:firstLineChars="200" w:firstLine="420"/>
        <w:rPr>
          <w:rFonts w:ascii="宋体" w:hAnsi="宋体"/>
          <w:szCs w:val="21"/>
        </w:rPr>
      </w:pPr>
      <w:r>
        <w:rPr>
          <w:rFonts w:ascii="宋体" w:hAnsi="宋体" w:hint="eastAsia"/>
          <w:szCs w:val="21"/>
        </w:rPr>
        <w:t>大族激光（</w:t>
      </w:r>
      <w:r>
        <w:rPr>
          <w:rFonts w:ascii="宋体" w:hAnsi="宋体" w:hint="eastAsia"/>
          <w:szCs w:val="21"/>
        </w:rPr>
        <w:t>002008</w:t>
      </w:r>
      <w:r>
        <w:rPr>
          <w:rFonts w:ascii="宋体" w:hAnsi="宋体" w:hint="eastAsia"/>
          <w:szCs w:val="21"/>
        </w:rPr>
        <w:t>）：国内激光应用龙头企业，积极布局机器人业务，受阻于短期均线压力近期大涨难度较大，中线</w:t>
      </w:r>
      <w:r>
        <w:rPr>
          <w:rFonts w:ascii="宋体" w:hAnsi="宋体" w:hint="eastAsia"/>
          <w:szCs w:val="21"/>
        </w:rPr>
        <w:t>30</w:t>
      </w:r>
      <w:r>
        <w:rPr>
          <w:rFonts w:ascii="宋体" w:hAnsi="宋体" w:hint="eastAsia"/>
          <w:szCs w:val="21"/>
        </w:rPr>
        <w:t>月均线为强支撑。</w:t>
      </w:r>
    </w:p>
    <w:p w:rsidR="00543DE4" w:rsidRDefault="00B53E9A">
      <w:pPr>
        <w:spacing w:line="360" w:lineRule="auto"/>
        <w:ind w:firstLineChars="200" w:firstLine="420"/>
        <w:rPr>
          <w:rFonts w:ascii="宋体" w:hAnsi="宋体"/>
          <w:szCs w:val="21"/>
        </w:rPr>
      </w:pPr>
      <w:r>
        <w:rPr>
          <w:rFonts w:ascii="宋体" w:hAnsi="宋体" w:hint="eastAsia"/>
          <w:szCs w:val="21"/>
        </w:rPr>
        <w:t>奥瑞金（</w:t>
      </w:r>
      <w:r>
        <w:rPr>
          <w:rFonts w:ascii="宋体" w:hAnsi="宋体" w:hint="eastAsia"/>
          <w:szCs w:val="21"/>
        </w:rPr>
        <w:t>002701</w:t>
      </w:r>
      <w:r>
        <w:rPr>
          <w:rFonts w:ascii="宋体" w:hAnsi="宋体" w:hint="eastAsia"/>
          <w:szCs w:val="21"/>
        </w:rPr>
        <w:t>）：</w:t>
      </w:r>
      <w:r>
        <w:rPr>
          <w:rFonts w:ascii="宋体" w:hAnsi="宋体" w:hint="eastAsia"/>
          <w:szCs w:val="21"/>
        </w:rPr>
        <w:t>A</w:t>
      </w:r>
      <w:r>
        <w:rPr>
          <w:rFonts w:ascii="宋体" w:hAnsi="宋体" w:hint="eastAsia"/>
          <w:szCs w:val="21"/>
        </w:rPr>
        <w:t>股金属包装龙头，</w:t>
      </w:r>
      <w:r>
        <w:rPr>
          <w:rFonts w:ascii="宋体" w:hAnsi="宋体" w:cs="仿宋" w:hint="eastAsia"/>
          <w:color w:val="000000"/>
          <w:szCs w:val="21"/>
        </w:rPr>
        <w:t>业绩平稳增长，分红慷慨，短期产能利用率高，且仍在扩产，有助于确保中期业绩的持续增长，</w:t>
      </w:r>
      <w:r>
        <w:rPr>
          <w:rFonts w:ascii="宋体" w:hAnsi="宋体" w:hint="eastAsia"/>
          <w:szCs w:val="21"/>
        </w:rPr>
        <w:t>年线以下具备中线投资价值，可积极关注。</w:t>
      </w:r>
    </w:p>
    <w:p w:rsidR="00543DE4" w:rsidRDefault="00543DE4">
      <w:pPr>
        <w:spacing w:line="360" w:lineRule="auto"/>
        <w:ind w:firstLineChars="200" w:firstLine="420"/>
        <w:rPr>
          <w:rFonts w:ascii="宋体" w:hAnsi="宋体"/>
          <w:szCs w:val="21"/>
        </w:rPr>
      </w:pPr>
    </w:p>
    <w:p w:rsidR="00543DE4" w:rsidRDefault="00B53E9A">
      <w:pPr>
        <w:spacing w:line="360" w:lineRule="auto"/>
        <w:ind w:firstLineChars="200" w:firstLine="420"/>
        <w:rPr>
          <w:rFonts w:ascii="宋体" w:hAnsi="宋体"/>
          <w:szCs w:val="21"/>
        </w:rPr>
      </w:pPr>
      <w:r>
        <w:rPr>
          <w:rFonts w:ascii="宋体" w:hAnsi="宋体" w:hint="eastAsia"/>
          <w:szCs w:val="21"/>
        </w:rPr>
        <w:t>宏发股份（</w:t>
      </w:r>
      <w:r>
        <w:rPr>
          <w:rFonts w:ascii="宋体" w:hAnsi="宋体" w:hint="eastAsia"/>
          <w:szCs w:val="21"/>
        </w:rPr>
        <w:t>600885</w:t>
      </w:r>
      <w:r>
        <w:rPr>
          <w:rFonts w:ascii="宋体" w:hAnsi="宋体" w:hint="eastAsia"/>
          <w:szCs w:val="21"/>
        </w:rPr>
        <w:t>）：国内继电器龙头企业，成立机器人公司加快自动化装备水平升级；跌破年线后将考验</w:t>
      </w:r>
      <w:r>
        <w:rPr>
          <w:rFonts w:ascii="宋体" w:hAnsi="宋体" w:hint="eastAsia"/>
          <w:szCs w:val="21"/>
        </w:rPr>
        <w:t>30</w:t>
      </w:r>
      <w:r>
        <w:rPr>
          <w:rFonts w:ascii="宋体" w:hAnsi="宋体" w:hint="eastAsia"/>
          <w:szCs w:val="21"/>
        </w:rPr>
        <w:t>月线支撑。</w:t>
      </w:r>
    </w:p>
    <w:p w:rsidR="00543DE4" w:rsidRDefault="00B53E9A">
      <w:pPr>
        <w:spacing w:line="360" w:lineRule="auto"/>
        <w:ind w:firstLineChars="200" w:firstLine="420"/>
        <w:rPr>
          <w:rFonts w:ascii="宋体" w:hAnsi="宋体"/>
          <w:szCs w:val="21"/>
        </w:rPr>
      </w:pPr>
      <w:r>
        <w:rPr>
          <w:rFonts w:ascii="宋体" w:hAnsi="宋体" w:hint="eastAsia"/>
          <w:szCs w:val="21"/>
        </w:rPr>
        <w:t>万向钱潮（</w:t>
      </w:r>
      <w:r>
        <w:rPr>
          <w:rFonts w:ascii="宋体" w:hAnsi="宋体" w:hint="eastAsia"/>
          <w:szCs w:val="21"/>
        </w:rPr>
        <w:t>000559</w:t>
      </w:r>
      <w:r>
        <w:rPr>
          <w:rFonts w:ascii="宋体" w:hAnsi="宋体" w:hint="eastAsia"/>
          <w:szCs w:val="21"/>
        </w:rPr>
        <w:t>）：国内汽车零部件龙头，业绩稳步增长，万向电动车注入是最主要看点；近期关注年线附近支撑，中线</w:t>
      </w:r>
      <w:r>
        <w:rPr>
          <w:rFonts w:ascii="宋体" w:hAnsi="宋体" w:hint="eastAsia"/>
          <w:szCs w:val="21"/>
        </w:rPr>
        <w:t>12</w:t>
      </w:r>
      <w:r>
        <w:rPr>
          <w:rFonts w:ascii="宋体" w:hAnsi="宋体" w:hint="eastAsia"/>
          <w:szCs w:val="21"/>
        </w:rPr>
        <w:t>元以下可积极关注。</w:t>
      </w:r>
    </w:p>
    <w:p w:rsidR="00543DE4" w:rsidRDefault="00B53E9A">
      <w:pPr>
        <w:spacing w:line="360" w:lineRule="auto"/>
        <w:ind w:firstLineChars="200" w:firstLine="420"/>
        <w:rPr>
          <w:rFonts w:ascii="宋体" w:hAnsi="宋体"/>
          <w:szCs w:val="21"/>
        </w:rPr>
      </w:pPr>
      <w:r>
        <w:rPr>
          <w:rFonts w:ascii="宋体" w:hAnsi="宋体" w:hint="eastAsia"/>
          <w:szCs w:val="21"/>
        </w:rPr>
        <w:t>新宙邦（</w:t>
      </w:r>
      <w:r>
        <w:rPr>
          <w:rFonts w:ascii="宋体" w:hAnsi="宋体" w:hint="eastAsia"/>
          <w:szCs w:val="21"/>
        </w:rPr>
        <w:t>300037</w:t>
      </w:r>
      <w:r>
        <w:rPr>
          <w:rFonts w:ascii="宋体" w:hAnsi="宋体" w:hint="eastAsia"/>
          <w:szCs w:val="21"/>
        </w:rPr>
        <w:t>）：国内锂电池电解液和电容化学品龙头，新建产能将陆续释放；</w:t>
      </w:r>
      <w:r>
        <w:rPr>
          <w:rFonts w:ascii="宋体" w:hAnsi="宋体" w:hint="eastAsia"/>
          <w:szCs w:val="21"/>
        </w:rPr>
        <w:t>8</w:t>
      </w:r>
      <w:r>
        <w:rPr>
          <w:rFonts w:ascii="宋体" w:hAnsi="宋体" w:hint="eastAsia"/>
          <w:szCs w:val="21"/>
        </w:rPr>
        <w:t>月中旬快速补跌，短期均线快速下行，中线强支撑在</w:t>
      </w:r>
      <w:r>
        <w:rPr>
          <w:rFonts w:ascii="宋体" w:hAnsi="宋体" w:hint="eastAsia"/>
          <w:szCs w:val="21"/>
        </w:rPr>
        <w:t>18-20</w:t>
      </w:r>
      <w:r>
        <w:rPr>
          <w:rFonts w:ascii="宋体" w:hAnsi="宋体" w:hint="eastAsia"/>
          <w:szCs w:val="21"/>
        </w:rPr>
        <w:t>元。</w:t>
      </w:r>
    </w:p>
    <w:p w:rsidR="00543DE4" w:rsidRDefault="00B53E9A">
      <w:pPr>
        <w:spacing w:line="360" w:lineRule="auto"/>
        <w:ind w:firstLineChars="200" w:firstLine="482"/>
        <w:rPr>
          <w:b/>
          <w:sz w:val="24"/>
          <w:szCs w:val="24"/>
        </w:rPr>
      </w:pPr>
      <w:r>
        <w:rPr>
          <w:rFonts w:hint="eastAsia"/>
          <w:b/>
          <w:sz w:val="24"/>
          <w:szCs w:val="24"/>
        </w:rPr>
        <w:t>六、投资心得</w:t>
      </w:r>
    </w:p>
    <w:p w:rsidR="00543DE4" w:rsidRDefault="00B53E9A">
      <w:pPr>
        <w:spacing w:line="360" w:lineRule="auto"/>
        <w:ind w:firstLineChars="200" w:firstLine="420"/>
        <w:rPr>
          <w:rFonts w:ascii="宋体" w:hAnsi="宋体"/>
          <w:szCs w:val="21"/>
          <w:lang w:val="zh-CN"/>
        </w:rPr>
      </w:pPr>
      <w:r>
        <w:rPr>
          <w:rFonts w:ascii="宋体" w:hAnsi="宋体" w:hint="eastAsia"/>
          <w:szCs w:val="21"/>
          <w:lang w:val="zh-CN"/>
        </w:rPr>
        <w:t>这一路走来很辛苦很煎熬，涨涨跌跌很考验一个人的内心是否强大。失去很多，但得到也很多。下面是我自己的</w:t>
      </w:r>
      <w:r>
        <w:rPr>
          <w:rFonts w:ascii="宋体" w:hAnsi="宋体" w:hint="eastAsia"/>
          <w:szCs w:val="21"/>
          <w:lang w:val="zh-CN"/>
        </w:rPr>
        <w:t>一些领悟。</w:t>
      </w:r>
    </w:p>
    <w:p w:rsidR="00543DE4" w:rsidRDefault="00B53E9A">
      <w:pPr>
        <w:spacing w:line="360" w:lineRule="auto"/>
        <w:ind w:firstLineChars="200" w:firstLine="420"/>
        <w:rPr>
          <w:rFonts w:ascii="宋体" w:hAnsi="宋体"/>
          <w:szCs w:val="21"/>
          <w:lang w:val="zh-CN"/>
        </w:rPr>
      </w:pPr>
      <w:r>
        <w:rPr>
          <w:rFonts w:ascii="宋体" w:hAnsi="宋体" w:hint="eastAsia"/>
          <w:szCs w:val="21"/>
          <w:lang w:val="zh-CN"/>
        </w:rPr>
        <w:t>一，赌性，股市就是赌市，赌得起就要输得起，在这个博弈的游戏里，没有人是真正的</w:t>
      </w:r>
      <w:r>
        <w:rPr>
          <w:rFonts w:ascii="宋体" w:hAnsi="宋体" w:hint="eastAsia"/>
          <w:szCs w:val="21"/>
          <w:lang w:val="zh-CN"/>
        </w:rPr>
        <w:lastRenderedPageBreak/>
        <w:t>赢家，只是资本的洗牌，今天你是赢家，明天也许就是我。</w:t>
      </w:r>
    </w:p>
    <w:p w:rsidR="00543DE4" w:rsidRDefault="00B53E9A">
      <w:pPr>
        <w:spacing w:line="360" w:lineRule="auto"/>
        <w:ind w:firstLineChars="200" w:firstLine="420"/>
        <w:rPr>
          <w:rFonts w:ascii="宋体" w:hAnsi="宋体"/>
          <w:szCs w:val="21"/>
          <w:lang w:val="zh-CN"/>
        </w:rPr>
      </w:pPr>
      <w:r>
        <w:rPr>
          <w:rFonts w:ascii="宋体" w:hAnsi="宋体" w:hint="eastAsia"/>
          <w:szCs w:val="21"/>
          <w:lang w:val="zh-CN"/>
        </w:rPr>
        <w:t>二，心态，心态很重要，只有内心的平静才能经历起外面的波澜。不盲目乐观更不能盲目悲观。悲观的人不用别人打败你，自己已经认输了。大家从上面描述我的炒股之路可以发现我越来越控制不住自己的心态了，乱的一团糟。一个好的心态能让我们更冷静的思考，在最差的环境中选择一条最好的路。</w:t>
      </w:r>
    </w:p>
    <w:p w:rsidR="00543DE4" w:rsidRDefault="00B53E9A">
      <w:pPr>
        <w:spacing w:line="360" w:lineRule="auto"/>
        <w:ind w:firstLineChars="200" w:firstLine="420"/>
        <w:rPr>
          <w:rFonts w:ascii="宋体" w:hAnsi="宋体"/>
          <w:szCs w:val="21"/>
          <w:lang w:val="zh-CN"/>
        </w:rPr>
      </w:pPr>
      <w:r>
        <w:rPr>
          <w:rFonts w:ascii="宋体" w:hAnsi="宋体" w:hint="eastAsia"/>
          <w:szCs w:val="21"/>
          <w:lang w:val="zh-CN"/>
        </w:rPr>
        <w:t>三，技术，一定要学好技术，这是很多新股民欠缺的。大部分都是人云亦云，没有自己的分析能力。不是不想分析，</w:t>
      </w:r>
      <w:r>
        <w:rPr>
          <w:rFonts w:ascii="宋体" w:hAnsi="宋体" w:hint="eastAsia"/>
          <w:szCs w:val="21"/>
          <w:lang w:val="zh-CN"/>
        </w:rPr>
        <w:t>而是最基本的方法都不懂，分析的也不正确。为什么很多老股民能快速的解套出来，这跟他们懂得利用技术选择更好的股票不无关系。我们欠缺的太多，需要不停的学习。</w:t>
      </w:r>
    </w:p>
    <w:p w:rsidR="00543DE4" w:rsidRDefault="00B53E9A">
      <w:pPr>
        <w:spacing w:line="360" w:lineRule="auto"/>
        <w:ind w:firstLineChars="200" w:firstLine="420"/>
        <w:rPr>
          <w:rFonts w:ascii="宋体" w:hAnsi="宋体"/>
          <w:szCs w:val="21"/>
        </w:rPr>
      </w:pPr>
      <w:r>
        <w:rPr>
          <w:rFonts w:ascii="宋体" w:hAnsi="宋体" w:hint="eastAsia"/>
          <w:szCs w:val="21"/>
          <w:lang w:val="zh-CN"/>
        </w:rPr>
        <w:t>四，自省，没有自我反省能力的人永远不会成长。我们不是神，不可能不犯错误，其实，犯错不可怕，可</w:t>
      </w:r>
      <w:bookmarkStart w:id="3" w:name="_GoBack"/>
      <w:bookmarkEnd w:id="3"/>
      <w:r>
        <w:rPr>
          <w:rFonts w:ascii="宋体" w:hAnsi="宋体" w:hint="eastAsia"/>
          <w:szCs w:val="21"/>
          <w:lang w:val="zh-CN"/>
        </w:rPr>
        <w:t>怕的是不知道错在哪儿。每一次的失败都应该让我们认识到自身的短处，怎么去避免下次的重蹈覆辙，就需要我们思考，自省，总结。</w:t>
      </w:r>
    </w:p>
    <w:p w:rsidR="00543DE4" w:rsidRDefault="00543DE4">
      <w:pPr>
        <w:spacing w:line="360" w:lineRule="auto"/>
        <w:ind w:firstLineChars="200" w:firstLine="420"/>
        <w:rPr>
          <w:rFonts w:ascii="宋体" w:hAnsi="宋体"/>
          <w:szCs w:val="21"/>
        </w:rPr>
      </w:pPr>
    </w:p>
    <w:sectPr w:rsidR="00543DE4" w:rsidSect="00543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9A" w:rsidRDefault="00B53E9A" w:rsidP="00746992">
      <w:r>
        <w:separator/>
      </w:r>
    </w:p>
  </w:endnote>
  <w:endnote w:type="continuationSeparator" w:id="1">
    <w:p w:rsidR="00B53E9A" w:rsidRDefault="00B53E9A" w:rsidP="00746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9A" w:rsidRDefault="00B53E9A" w:rsidP="00746992">
      <w:r>
        <w:separator/>
      </w:r>
    </w:p>
  </w:footnote>
  <w:footnote w:type="continuationSeparator" w:id="1">
    <w:p w:rsidR="00B53E9A" w:rsidRDefault="00B53E9A" w:rsidP="0074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D623"/>
    <w:multiLevelType w:val="singleLevel"/>
    <w:tmpl w:val="55E6D623"/>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34BB6"/>
    <w:rsid w:val="00037389"/>
    <w:rsid w:val="00061CE4"/>
    <w:rsid w:val="00072D98"/>
    <w:rsid w:val="00086421"/>
    <w:rsid w:val="000B3E6D"/>
    <w:rsid w:val="000D784F"/>
    <w:rsid w:val="000E1E05"/>
    <w:rsid w:val="00112C3A"/>
    <w:rsid w:val="0011536D"/>
    <w:rsid w:val="00140617"/>
    <w:rsid w:val="00172A27"/>
    <w:rsid w:val="00173F87"/>
    <w:rsid w:val="001D2465"/>
    <w:rsid w:val="001F21DD"/>
    <w:rsid w:val="001F603D"/>
    <w:rsid w:val="002145A9"/>
    <w:rsid w:val="00232EEB"/>
    <w:rsid w:val="002355E9"/>
    <w:rsid w:val="00263D60"/>
    <w:rsid w:val="002747FE"/>
    <w:rsid w:val="002A4796"/>
    <w:rsid w:val="002A6E4C"/>
    <w:rsid w:val="002B7EB2"/>
    <w:rsid w:val="002C46E8"/>
    <w:rsid w:val="002C481D"/>
    <w:rsid w:val="002C713D"/>
    <w:rsid w:val="0030541A"/>
    <w:rsid w:val="0031064F"/>
    <w:rsid w:val="0037276F"/>
    <w:rsid w:val="0037546A"/>
    <w:rsid w:val="00383E5F"/>
    <w:rsid w:val="00395E57"/>
    <w:rsid w:val="003C1B99"/>
    <w:rsid w:val="00401069"/>
    <w:rsid w:val="004064F8"/>
    <w:rsid w:val="004730DE"/>
    <w:rsid w:val="004745B6"/>
    <w:rsid w:val="004801D7"/>
    <w:rsid w:val="004D2F4A"/>
    <w:rsid w:val="004E3AE2"/>
    <w:rsid w:val="004E609E"/>
    <w:rsid w:val="00511BC1"/>
    <w:rsid w:val="0051574F"/>
    <w:rsid w:val="005376D4"/>
    <w:rsid w:val="00543DE4"/>
    <w:rsid w:val="00555709"/>
    <w:rsid w:val="00582307"/>
    <w:rsid w:val="00591702"/>
    <w:rsid w:val="00593DAB"/>
    <w:rsid w:val="005C3F8F"/>
    <w:rsid w:val="005D1787"/>
    <w:rsid w:val="005D380B"/>
    <w:rsid w:val="005D6F5B"/>
    <w:rsid w:val="005E4CA8"/>
    <w:rsid w:val="00602C5D"/>
    <w:rsid w:val="00604E64"/>
    <w:rsid w:val="00606B24"/>
    <w:rsid w:val="006136AD"/>
    <w:rsid w:val="0061736C"/>
    <w:rsid w:val="006414BC"/>
    <w:rsid w:val="0065456D"/>
    <w:rsid w:val="00663F64"/>
    <w:rsid w:val="00682E5A"/>
    <w:rsid w:val="006D0C1C"/>
    <w:rsid w:val="00717E3C"/>
    <w:rsid w:val="00726784"/>
    <w:rsid w:val="00732657"/>
    <w:rsid w:val="00737812"/>
    <w:rsid w:val="00737B62"/>
    <w:rsid w:val="007418F0"/>
    <w:rsid w:val="00741B3E"/>
    <w:rsid w:val="00746992"/>
    <w:rsid w:val="007A0191"/>
    <w:rsid w:val="007A123C"/>
    <w:rsid w:val="007D36CB"/>
    <w:rsid w:val="007F684B"/>
    <w:rsid w:val="007F71BE"/>
    <w:rsid w:val="00804B85"/>
    <w:rsid w:val="00805F2E"/>
    <w:rsid w:val="00810D42"/>
    <w:rsid w:val="008347A6"/>
    <w:rsid w:val="00853AA4"/>
    <w:rsid w:val="008A33D9"/>
    <w:rsid w:val="008B1820"/>
    <w:rsid w:val="008D6B75"/>
    <w:rsid w:val="008E7EAE"/>
    <w:rsid w:val="00901253"/>
    <w:rsid w:val="00902543"/>
    <w:rsid w:val="0090277D"/>
    <w:rsid w:val="009028AE"/>
    <w:rsid w:val="00935118"/>
    <w:rsid w:val="00947E71"/>
    <w:rsid w:val="00961215"/>
    <w:rsid w:val="00987AF0"/>
    <w:rsid w:val="009A6052"/>
    <w:rsid w:val="009F4351"/>
    <w:rsid w:val="00A0131F"/>
    <w:rsid w:val="00A303E1"/>
    <w:rsid w:val="00A36C91"/>
    <w:rsid w:val="00A6522C"/>
    <w:rsid w:val="00AA0E8E"/>
    <w:rsid w:val="00AB2758"/>
    <w:rsid w:val="00AB5E5E"/>
    <w:rsid w:val="00AE683A"/>
    <w:rsid w:val="00AF1209"/>
    <w:rsid w:val="00B40746"/>
    <w:rsid w:val="00B53E9A"/>
    <w:rsid w:val="00B53EA1"/>
    <w:rsid w:val="00B7338D"/>
    <w:rsid w:val="00B84770"/>
    <w:rsid w:val="00BE1AD6"/>
    <w:rsid w:val="00BF201C"/>
    <w:rsid w:val="00C2238D"/>
    <w:rsid w:val="00C57F3A"/>
    <w:rsid w:val="00C76C11"/>
    <w:rsid w:val="00CA2246"/>
    <w:rsid w:val="00CB3BD2"/>
    <w:rsid w:val="00CC3C0B"/>
    <w:rsid w:val="00D248E1"/>
    <w:rsid w:val="00D558C0"/>
    <w:rsid w:val="00D77B6F"/>
    <w:rsid w:val="00D81696"/>
    <w:rsid w:val="00E43AC6"/>
    <w:rsid w:val="00E50041"/>
    <w:rsid w:val="00E92F09"/>
    <w:rsid w:val="00EA1788"/>
    <w:rsid w:val="00EB1766"/>
    <w:rsid w:val="00EF3860"/>
    <w:rsid w:val="00F44B2E"/>
    <w:rsid w:val="00F47D8C"/>
    <w:rsid w:val="00F52DCE"/>
    <w:rsid w:val="00F55B90"/>
    <w:rsid w:val="00F86648"/>
    <w:rsid w:val="00FD00C4"/>
    <w:rsid w:val="00FF47A4"/>
    <w:rsid w:val="08F74842"/>
    <w:rsid w:val="195C6CAB"/>
    <w:rsid w:val="673B22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E4"/>
    <w:pPr>
      <w:widowControl w:val="0"/>
      <w:jc w:val="both"/>
    </w:pPr>
    <w:rPr>
      <w:rFonts w:ascii="Calibri" w:hAnsi="Calibri"/>
      <w:kern w:val="2"/>
      <w:sz w:val="21"/>
      <w:szCs w:val="22"/>
    </w:rPr>
  </w:style>
  <w:style w:type="paragraph" w:styleId="2">
    <w:name w:val="heading 2"/>
    <w:basedOn w:val="a"/>
    <w:next w:val="a"/>
    <w:link w:val="2Char"/>
    <w:uiPriority w:val="9"/>
    <w:qFormat/>
    <w:rsid w:val="00543DE4"/>
    <w:pPr>
      <w:keepNext/>
      <w:keepLines/>
      <w:spacing w:line="360" w:lineRule="auto"/>
      <w:jc w:val="left"/>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43DE4"/>
    <w:rPr>
      <w:sz w:val="18"/>
      <w:szCs w:val="18"/>
    </w:rPr>
  </w:style>
  <w:style w:type="paragraph" w:styleId="a4">
    <w:name w:val="footer"/>
    <w:basedOn w:val="a"/>
    <w:link w:val="Char0"/>
    <w:uiPriority w:val="99"/>
    <w:unhideWhenUsed/>
    <w:rsid w:val="00543DE4"/>
    <w:pPr>
      <w:tabs>
        <w:tab w:val="center" w:pos="4153"/>
        <w:tab w:val="right" w:pos="8306"/>
      </w:tabs>
      <w:snapToGrid w:val="0"/>
      <w:jc w:val="left"/>
    </w:pPr>
    <w:rPr>
      <w:sz w:val="18"/>
      <w:szCs w:val="18"/>
    </w:rPr>
  </w:style>
  <w:style w:type="paragraph" w:styleId="a5">
    <w:name w:val="header"/>
    <w:basedOn w:val="a"/>
    <w:link w:val="Char1"/>
    <w:uiPriority w:val="99"/>
    <w:unhideWhenUsed/>
    <w:rsid w:val="00543D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43DE4"/>
    <w:rPr>
      <w:sz w:val="18"/>
      <w:szCs w:val="18"/>
    </w:rPr>
  </w:style>
  <w:style w:type="character" w:customStyle="1" w:styleId="Char0">
    <w:name w:val="页脚 Char"/>
    <w:basedOn w:val="a0"/>
    <w:link w:val="a4"/>
    <w:uiPriority w:val="99"/>
    <w:semiHidden/>
    <w:rsid w:val="00543DE4"/>
    <w:rPr>
      <w:sz w:val="18"/>
      <w:szCs w:val="18"/>
    </w:rPr>
  </w:style>
  <w:style w:type="character" w:customStyle="1" w:styleId="Char">
    <w:name w:val="批注框文本 Char"/>
    <w:basedOn w:val="a0"/>
    <w:link w:val="a3"/>
    <w:uiPriority w:val="99"/>
    <w:semiHidden/>
    <w:rsid w:val="00543DE4"/>
    <w:rPr>
      <w:sz w:val="18"/>
      <w:szCs w:val="18"/>
    </w:rPr>
  </w:style>
  <w:style w:type="character" w:customStyle="1" w:styleId="2Char">
    <w:name w:val="标题 2 Char"/>
    <w:basedOn w:val="a0"/>
    <w:link w:val="2"/>
    <w:uiPriority w:val="9"/>
    <w:rsid w:val="00543DE4"/>
    <w:rPr>
      <w:rFonts w:ascii="Arial" w:eastAsia="宋体" w:hAnsi="Arial" w:cs="Times New Roman"/>
      <w:b/>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819</Words>
  <Characters>4674</Characters>
  <Application>Microsoft Office Word</Application>
  <DocSecurity>0</DocSecurity>
  <Lines>38</Lines>
  <Paragraphs>10</Paragraphs>
  <ScaleCrop>false</ScaleCrop>
  <Company>http://sdwm.org</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8月投资通讯</dc:title>
  <dc:creator>SDWM</dc:creator>
  <cp:lastModifiedBy>SDWM</cp:lastModifiedBy>
  <cp:revision>1</cp:revision>
  <dcterms:created xsi:type="dcterms:W3CDTF">2015-07-22T01:31:00Z</dcterms:created>
  <dcterms:modified xsi:type="dcterms:W3CDTF">2015-09-02T10:33:00Z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