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100" w:afterLines="100"/>
        <w:jc w:val="center"/>
        <w:rPr>
          <w:rFonts w:ascii="宋体" w:hAnsi="宋体" w:eastAsia="宋体"/>
          <w:b/>
          <w:sz w:val="32"/>
          <w:szCs w:val="32"/>
        </w:rPr>
      </w:pPr>
      <w:r>
        <w:rPr>
          <w:rFonts w:hint="eastAsia" w:ascii="宋体" w:hAnsi="宋体" w:eastAsia="宋体"/>
          <w:b/>
          <w:sz w:val="32"/>
          <w:szCs w:val="32"/>
        </w:rPr>
        <w:t>7月投资通讯</w:t>
      </w:r>
    </w:p>
    <w:p>
      <w:pPr>
        <w:spacing w:beforeLines="100" w:afterLines="100"/>
        <w:rPr>
          <w:b/>
          <w:sz w:val="24"/>
          <w:szCs w:val="24"/>
        </w:rPr>
      </w:pPr>
      <w:r>
        <w:rPr>
          <w:rFonts w:hint="eastAsia"/>
          <w:b/>
          <w:sz w:val="24"/>
          <w:szCs w:val="24"/>
        </w:rPr>
        <w:t>一、资本市场发生了什么？</w:t>
      </w:r>
    </w:p>
    <w:p>
      <w:pPr>
        <w:spacing w:line="360" w:lineRule="auto"/>
        <w:ind w:firstLine="420" w:firstLineChars="200"/>
        <w:rPr>
          <w:rFonts w:ascii="宋体" w:hAnsi="宋体"/>
          <w:szCs w:val="21"/>
        </w:rPr>
      </w:pPr>
      <w:r>
        <w:rPr>
          <w:rFonts w:hint="eastAsia" w:ascii="宋体" w:hAnsi="宋体"/>
          <w:szCs w:val="21"/>
        </w:rPr>
        <w:t>本月股市在央行“双降”利好刺激下，略微有所冲高后即展开了大调整，在政府强有力的救市措施出台后，出现一波快速反弹，但月底再次走弱。上证综指收盘3363.73点，跌幅14.34%；深证成指收盘1964.39点，跌幅13.7%；中小板指数收盘8336.12点，跌幅9.71%；创业板指数收盘2539.84点，跌幅11.15%。</w:t>
      </w:r>
    </w:p>
    <w:p>
      <w:pPr>
        <w:spacing w:line="360" w:lineRule="auto"/>
        <w:ind w:firstLine="420" w:firstLineChars="200"/>
        <w:rPr>
          <w:rFonts w:hint="eastAsia" w:ascii="宋体" w:hAnsi="宋体"/>
          <w:szCs w:val="21"/>
        </w:rPr>
      </w:pPr>
      <w:r>
        <w:rPr>
          <w:rFonts w:hint="eastAsia" w:ascii="宋体" w:hAnsi="宋体"/>
          <w:szCs w:val="21"/>
        </w:rPr>
        <w:t>本月A股市场实现上涨的品种主要是政府救市相关标的及少数低估值的大蓝筹，而前期涨幅较大的中小创和传统行业业绩较差的个股跌幅居前。</w:t>
      </w:r>
    </w:p>
    <w:p>
      <w:pPr>
        <w:spacing w:line="360" w:lineRule="auto"/>
        <w:ind w:firstLine="420" w:firstLineChars="200"/>
        <w:rPr>
          <w:rFonts w:ascii="宋体" w:hAnsi="宋体"/>
          <w:szCs w:val="21"/>
        </w:rPr>
      </w:pPr>
      <w:r>
        <w:rPr>
          <w:rFonts w:hint="eastAsia" w:ascii="宋体" w:hAnsi="宋体"/>
          <w:szCs w:val="21"/>
        </w:rPr>
        <w:t>本月A股市场涨幅超过100%的个股13支，涨幅200%的个股仅2支，集中在刚刚上市的新股当中。本月A股市场换手率超过200%的个股有20支，主要是次新股，经过拉升后，先知先觉的资金大肆出逃。</w:t>
      </w:r>
    </w:p>
    <w:p>
      <w:pPr>
        <w:spacing w:beforeLines="100" w:afterLines="100"/>
        <w:rPr>
          <w:b/>
          <w:sz w:val="24"/>
          <w:szCs w:val="24"/>
        </w:rPr>
      </w:pPr>
      <w:r>
        <w:rPr>
          <w:rFonts w:hint="eastAsia"/>
          <w:b/>
          <w:sz w:val="24"/>
          <w:szCs w:val="24"/>
        </w:rPr>
        <w:t>二. SBL52民企指数，人人都说好</w:t>
      </w:r>
    </w:p>
    <w:p>
      <w:pPr>
        <w:ind w:firstLine="420" w:firstLineChars="200"/>
      </w:pPr>
      <w:r>
        <w:rPr>
          <w:rFonts w:hint="eastAsia"/>
        </w:rPr>
        <w:t>本月SBL 52民企指数开盘722.07点，最高750.61点，最低601.39点，收盘624.85点，下跌97.22点，跌幅13.46%。</w:t>
      </w:r>
    </w:p>
    <w:p>
      <w:pPr>
        <w:ind w:firstLine="422" w:firstLineChars="200"/>
        <w:jc w:val="center"/>
      </w:pPr>
      <w:r>
        <w:rPr>
          <w:rFonts w:hint="eastAsia"/>
          <w:b/>
        </w:rPr>
        <w:t>SBL52指数与沪深同类指数表现对比</w:t>
      </w:r>
    </w:p>
    <w:p>
      <w:pPr>
        <w:spacing w:line="360" w:lineRule="auto"/>
        <w:rPr>
          <w:rFonts w:ascii="宋体" w:hAnsi="宋体"/>
          <w:szCs w:val="21"/>
        </w:rPr>
      </w:pPr>
      <w:r>
        <w:rPr>
          <w:rFonts w:ascii="Calibri" w:hAnsi="Calibri" w:eastAsia="宋体" w:cs="Times New Roman"/>
          <w:kern w:val="2"/>
          <w:sz w:val="21"/>
          <w:szCs w:val="22"/>
          <w:lang w:val="en-US" w:eastAsia="zh-CN" w:bidi="ar-SA"/>
        </w:rPr>
        <w:pict>
          <v:shape id="图表 1" o:spid="_x0000_s1026" type="#_x0000_t75" style="height:273.3pt;width:415.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60" w:lineRule="auto"/>
        <w:ind w:firstLine="420" w:firstLineChars="200"/>
        <w:rPr>
          <w:rFonts w:ascii="宋体" w:hAnsi="宋体"/>
          <w:szCs w:val="21"/>
        </w:rPr>
      </w:pPr>
    </w:p>
    <w:p>
      <w:pPr>
        <w:ind w:firstLine="422" w:firstLineChars="200"/>
        <w:jc w:val="center"/>
      </w:pPr>
      <w:r>
        <w:rPr>
          <w:rFonts w:hint="eastAsia"/>
          <w:b/>
        </w:rPr>
        <w:t>各指数风险收益特征对比</w:t>
      </w:r>
    </w:p>
    <w:p>
      <w:pPr>
        <w:ind w:firstLine="435"/>
        <w:rPr>
          <w:rFonts w:hint="eastAsia"/>
          <w:szCs w:val="18"/>
        </w:rPr>
      </w:pPr>
      <w:r>
        <w:rPr>
          <w:rFonts w:ascii="Calibri" w:hAnsi="Calibri" w:eastAsia="宋体" w:cs="Times New Roman"/>
          <w:kern w:val="2"/>
          <w:sz w:val="21"/>
          <w:szCs w:val="18"/>
          <w:lang w:val="en-US" w:eastAsia="zh-CN" w:bidi="ar-SA"/>
        </w:rPr>
        <w:pict>
          <v:shape id="图片 2" o:spid="_x0000_s1027" type="#_x0000_t75" style="height:102pt;width:38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firstLine="435"/>
        <w:rPr>
          <w:szCs w:val="18"/>
        </w:rPr>
      </w:pPr>
    </w:p>
    <w:p>
      <w:pPr>
        <w:ind w:firstLine="435"/>
        <w:rPr>
          <w:rFonts w:hint="eastAsia"/>
        </w:rPr>
      </w:pPr>
      <w:r>
        <w:rPr>
          <w:rFonts w:hint="eastAsia"/>
          <w:szCs w:val="18"/>
        </w:rPr>
        <w:t>7月份，从平均回报率来看，</w:t>
      </w:r>
      <w:r>
        <w:rPr>
          <w:rFonts w:hint="eastAsia"/>
        </w:rPr>
        <w:t>SBL52中国民企成指较中证</w:t>
      </w:r>
      <w:r>
        <w:rPr>
          <w:rFonts w:hint="eastAsia"/>
          <w:szCs w:val="18"/>
        </w:rPr>
        <w:t>民企200、深证民营、深证成指这三个指数要好。</w:t>
      </w:r>
    </w:p>
    <w:p>
      <w:pPr>
        <w:ind w:firstLine="435"/>
        <w:rPr>
          <w:rFonts w:hint="eastAsia"/>
          <w:szCs w:val="18"/>
        </w:rPr>
      </w:pPr>
      <w:r>
        <w:rPr>
          <w:rFonts w:hint="eastAsia"/>
        </w:rPr>
        <w:t>SBL52中国民企成指的波动率仍然小于中证</w:t>
      </w:r>
      <w:r>
        <w:rPr>
          <w:rFonts w:hint="eastAsia"/>
          <w:szCs w:val="18"/>
        </w:rPr>
        <w:t>民企200、深证民营这两个同类指数，β系数也小于后两者，表现较为稳定。</w:t>
      </w:r>
    </w:p>
    <w:p>
      <w:pPr>
        <w:numPr>
          <w:ilvl w:val="0"/>
          <w:numId w:val="1"/>
        </w:numPr>
        <w:spacing w:beforeLines="100" w:afterLines="100"/>
        <w:rPr>
          <w:rFonts w:hint="eastAsia"/>
          <w:b/>
          <w:sz w:val="24"/>
          <w:szCs w:val="24"/>
        </w:rPr>
      </w:pPr>
      <w:r>
        <w:rPr>
          <w:rFonts w:hint="eastAsia"/>
          <w:b/>
          <w:sz w:val="24"/>
          <w:szCs w:val="24"/>
        </w:rPr>
        <w:t>民企信息大观园</w:t>
      </w:r>
    </w:p>
    <w:p>
      <w:pPr>
        <w:rPr>
          <w:rFonts w:hint="eastAsia"/>
          <w:b/>
          <w:bCs/>
          <w:lang w:eastAsia="zh-CN"/>
        </w:rPr>
      </w:pPr>
      <w:r>
        <w:rPr>
          <w:rFonts w:hint="eastAsia"/>
          <w:b/>
          <w:bCs/>
          <w:lang w:eastAsia="zh-CN"/>
        </w:rPr>
        <w:t>深化改革释放“红利”民企成山东第一大出口贸易主体</w:t>
      </w:r>
    </w:p>
    <w:p>
      <w:pPr>
        <w:ind w:firstLine="420" w:firstLineChars="0"/>
        <w:rPr>
          <w:rFonts w:hint="eastAsia"/>
          <w:lang w:eastAsia="zh-CN"/>
        </w:rPr>
      </w:pPr>
      <w:r>
        <w:rPr>
          <w:rFonts w:hint="eastAsia"/>
          <w:lang w:eastAsia="zh-CN"/>
        </w:rPr>
        <w:t>今年上半年,山东民营工业增加值增长9.4%,民间投资占比达到82.1%,民营企业已超过外资企业成为第一大出口贸易主体。山东省软件产业规模居全国第4位,在重大装备、高端材料、绿色制造等领域争取国家重点技改项目47个。山东省将服务业引导资金增加至4亿元。</w:t>
      </w:r>
    </w:p>
    <w:p>
      <w:pPr>
        <w:rPr>
          <w:rFonts w:hint="eastAsia"/>
          <w:lang w:eastAsia="zh-CN"/>
        </w:rPr>
      </w:pPr>
    </w:p>
    <w:p>
      <w:pPr>
        <w:rPr>
          <w:rFonts w:hint="eastAsia"/>
          <w:b/>
          <w:bCs/>
          <w:lang w:eastAsia="zh-CN"/>
        </w:rPr>
      </w:pPr>
      <w:r>
        <w:rPr>
          <w:rFonts w:hint="eastAsia"/>
          <w:b/>
          <w:bCs/>
          <w:lang w:eastAsia="zh-CN"/>
        </w:rPr>
        <w:t>中石油牵手两家民企混改 油气上游垄断局面被打破</w:t>
      </w:r>
    </w:p>
    <w:p>
      <w:pPr>
        <w:ind w:firstLine="420" w:firstLineChars="0"/>
        <w:rPr>
          <w:rFonts w:hint="eastAsia"/>
          <w:lang w:eastAsia="zh-CN"/>
        </w:rPr>
      </w:pPr>
      <w:r>
        <w:rPr>
          <w:rFonts w:hint="eastAsia"/>
          <w:lang w:eastAsia="zh-CN"/>
        </w:rPr>
        <w:t>近期，中石油已经牵手广汇能源和光正集团两家民企，在油气销售领域发力混改。需要一提的是，目前，新疆6个油气区块已经进入招标阶段，油气上游开始破垄断。</w:t>
      </w:r>
    </w:p>
    <w:p>
      <w:pPr>
        <w:rPr>
          <w:rFonts w:hint="eastAsia"/>
          <w:lang w:eastAsia="zh-CN"/>
        </w:rPr>
      </w:pPr>
      <w:r>
        <w:rPr>
          <w:rFonts w:hint="eastAsia"/>
          <w:lang w:eastAsia="zh-CN"/>
        </w:rPr>
        <w:t>　　</w:t>
      </w:r>
    </w:p>
    <w:p>
      <w:pPr>
        <w:rPr>
          <w:rFonts w:hint="eastAsia"/>
          <w:b/>
          <w:bCs/>
          <w:lang w:eastAsia="zh-CN"/>
        </w:rPr>
      </w:pPr>
      <w:r>
        <w:rPr>
          <w:rFonts w:hint="eastAsia"/>
          <w:b/>
          <w:bCs/>
          <w:lang w:eastAsia="zh-CN"/>
        </w:rPr>
        <w:t>近40家民企进军保险业</w:t>
      </w:r>
    </w:p>
    <w:p>
      <w:pPr>
        <w:rPr>
          <w:rFonts w:hint="eastAsia"/>
          <w:lang w:eastAsia="zh-CN"/>
        </w:rPr>
      </w:pPr>
      <w:r>
        <w:rPr>
          <w:rFonts w:hint="eastAsia"/>
          <w:lang w:eastAsia="zh-CN"/>
        </w:rPr>
        <w:t>自今年初开始，已有近40家民营企业“搭帮”进入保险领域。</w:t>
      </w:r>
    </w:p>
    <w:p>
      <w:pPr>
        <w:rPr>
          <w:rFonts w:hint="eastAsia"/>
          <w:lang w:eastAsia="zh-CN"/>
        </w:rPr>
      </w:pPr>
      <w:r>
        <w:rPr>
          <w:rFonts w:hint="eastAsia"/>
          <w:lang w:eastAsia="zh-CN"/>
        </w:rPr>
        <w:t>易联众昨日发布公告称，该公司联合6家民营企业成立人寿保险公司。据了解，该人寿保险注册资本为10亿元，合作方包括九鼎投资、飞天诚信、众信旅游、金杯电工等。</w:t>
      </w:r>
    </w:p>
    <w:p>
      <w:pPr>
        <w:rPr>
          <w:rFonts w:hint="eastAsia"/>
          <w:lang w:eastAsia="zh-CN"/>
        </w:rPr>
      </w:pPr>
    </w:p>
    <w:p>
      <w:pPr>
        <w:rPr>
          <w:rFonts w:hint="eastAsia"/>
          <w:b/>
          <w:bCs/>
          <w:lang w:eastAsia="zh-CN"/>
        </w:rPr>
      </w:pPr>
      <w:r>
        <w:rPr>
          <w:rFonts w:hint="eastAsia"/>
          <w:b/>
          <w:bCs/>
          <w:lang w:eastAsia="zh-CN"/>
        </w:rPr>
        <w:t>阿里云中科院成立量子计算联合实验室</w:t>
      </w:r>
    </w:p>
    <w:p>
      <w:pPr>
        <w:rPr>
          <w:rFonts w:hint="eastAsia"/>
          <w:lang w:eastAsia="zh-CN"/>
        </w:rPr>
      </w:pPr>
      <w:r>
        <w:rPr>
          <w:rFonts w:hint="eastAsia"/>
          <w:lang w:eastAsia="zh-CN"/>
        </w:rPr>
        <w:t xml:space="preserve"> </w:t>
      </w:r>
      <w:r>
        <w:rPr>
          <w:rFonts w:hint="eastAsia"/>
          <w:lang w:val="en-US" w:eastAsia="zh-CN"/>
        </w:rPr>
        <w:tab/>
      </w:r>
      <w:r>
        <w:rPr>
          <w:rFonts w:hint="eastAsia"/>
          <w:lang w:eastAsia="zh-CN"/>
        </w:rPr>
        <w:t xml:space="preserve"> 7月30日下午，阿里巴巴集团旗下阿里云宣布联合中科院成立一个全新的实验室，共同开展在量子信息科学领域的前瞻性研究，研制量子计算机。</w:t>
      </w:r>
    </w:p>
    <w:p>
      <w:pPr>
        <w:rPr>
          <w:rFonts w:hint="eastAsia"/>
          <w:lang w:eastAsia="zh-CN"/>
        </w:rPr>
      </w:pPr>
    </w:p>
    <w:p>
      <w:pPr>
        <w:rPr>
          <w:rFonts w:hint="eastAsia"/>
          <w:b/>
          <w:bCs/>
          <w:lang w:eastAsia="zh-CN"/>
        </w:rPr>
      </w:pPr>
      <w:r>
        <w:rPr>
          <w:rFonts w:hint="eastAsia"/>
          <w:b/>
          <w:bCs/>
          <w:lang w:eastAsia="zh-CN"/>
        </w:rPr>
        <w:t>苏宁云商上半年净利3.45亿同比扭亏</w:t>
      </w:r>
    </w:p>
    <w:p>
      <w:pPr>
        <w:ind w:firstLine="420" w:firstLineChars="0"/>
        <w:rPr>
          <w:rFonts w:hint="eastAsia"/>
          <w:lang w:eastAsia="zh-CN"/>
        </w:rPr>
      </w:pPr>
      <w:r>
        <w:rPr>
          <w:rFonts w:hint="eastAsia"/>
          <w:lang w:eastAsia="zh-CN"/>
        </w:rPr>
        <w:t>苏宁云商7月30日晚间披露业绩快报显示，公司2015年1-6月实现营业收入630.83亿元，同比增长23.32%；归属于上市公司股东的净利润3.45亿元，上年同期为-7.55亿元；基本每股收益0.05元。</w:t>
      </w:r>
    </w:p>
    <w:p>
      <w:pPr>
        <w:ind w:firstLine="420" w:firstLineChars="0"/>
        <w:rPr>
          <w:rFonts w:hint="eastAsia"/>
          <w:lang w:eastAsia="zh-CN"/>
        </w:rPr>
      </w:pPr>
    </w:p>
    <w:p>
      <w:pPr>
        <w:rPr>
          <w:rFonts w:hint="eastAsia"/>
          <w:b/>
          <w:bCs/>
          <w:lang w:eastAsia="zh-CN"/>
        </w:rPr>
      </w:pPr>
      <w:r>
        <w:rPr>
          <w:rFonts w:hint="eastAsia"/>
          <w:b/>
          <w:bCs/>
          <w:lang w:eastAsia="zh-CN"/>
        </w:rPr>
        <w:t>加速“全零售”战略步伐 国美拟112亿港元收购艺伟发展</w:t>
      </w:r>
    </w:p>
    <w:p>
      <w:pPr>
        <w:ind w:firstLine="420" w:firstLineChars="0"/>
        <w:rPr>
          <w:rFonts w:hint="eastAsia"/>
          <w:lang w:eastAsia="zh-CN"/>
        </w:rPr>
      </w:pPr>
      <w:r>
        <w:rPr>
          <w:rFonts w:hint="eastAsia"/>
          <w:lang w:eastAsia="zh-CN"/>
        </w:rPr>
        <w:t>7月26日，国美电器宣布，拟收购其控股股东全资拥有的艺伟发展有限公司，即控股股东将非上市零售网络和供应链资产全部注入上市公司，交易总对价为112.68亿港元。业内人士表示，此次收购标志着国美进入全面深化全零售战略的新阶段，交易完成后，国美将完成全国网络的整体布局，覆盖范围将由269个城市拓展至436个城市。</w:t>
      </w:r>
    </w:p>
    <w:p>
      <w:pPr>
        <w:ind w:firstLine="420" w:firstLineChars="0"/>
        <w:rPr>
          <w:rFonts w:hint="eastAsia"/>
          <w:lang w:eastAsia="zh-CN"/>
        </w:rPr>
      </w:pPr>
    </w:p>
    <w:p>
      <w:pPr>
        <w:rPr>
          <w:rFonts w:hint="eastAsia"/>
          <w:b/>
          <w:bCs/>
          <w:lang w:eastAsia="zh-CN"/>
        </w:rPr>
      </w:pPr>
      <w:r>
        <w:rPr>
          <w:rFonts w:hint="eastAsia"/>
          <w:b/>
          <w:bCs/>
          <w:lang w:eastAsia="zh-CN"/>
        </w:rPr>
        <w:t>上海推12项任务支持跨境电商 将建立负面清单制度</w:t>
      </w:r>
    </w:p>
    <w:p>
      <w:pPr>
        <w:ind w:firstLine="420" w:firstLineChars="0"/>
        <w:rPr>
          <w:rFonts w:hint="eastAsia"/>
          <w:lang w:eastAsia="zh-CN"/>
        </w:rPr>
      </w:pPr>
      <w:r>
        <w:rPr>
          <w:rFonts w:hint="eastAsia"/>
          <w:lang w:eastAsia="zh-CN"/>
        </w:rPr>
        <w:t>作为全国首批跨境电子商务试点城市之一，上海在7月28日公布了《促进本市跨境电子商务发展的若干意见》，这也是国务院上月发布鼓励跨境电商发展的“46号文”之后，首个推出响应政策的地区。</w:t>
      </w:r>
    </w:p>
    <w:p>
      <w:pPr>
        <w:rPr>
          <w:rFonts w:hint="eastAsia"/>
        </w:rPr>
      </w:pPr>
    </w:p>
    <w:p>
      <w:pPr>
        <w:rPr>
          <w:rFonts w:hint="eastAsia"/>
          <w:b/>
          <w:bCs/>
        </w:rPr>
      </w:pPr>
      <w:r>
        <w:rPr>
          <w:rFonts w:hint="eastAsia"/>
          <w:b/>
          <w:bCs/>
        </w:rPr>
        <w:t>酒仙网冲刺新三板</w:t>
      </w:r>
    </w:p>
    <w:p>
      <w:pPr>
        <w:ind w:firstLine="420" w:firstLineChars="0"/>
        <w:rPr>
          <w:rFonts w:hint="eastAsia"/>
        </w:rPr>
      </w:pPr>
      <w:r>
        <w:rPr>
          <w:rFonts w:hint="eastAsia"/>
        </w:rPr>
        <w:t>7月29日，从事酒类电商业务的酒仙网宣布获得G轮融资5亿元，同时启动新三板挂牌进程。酒仙网董事长郝鸿峰向中国证券报记者表示，该笔融资是公司6年来获得的第7笔融资，也是金额最大的一笔。目前酒仙网累计通过股权融资14.3亿元。</w:t>
      </w:r>
    </w:p>
    <w:p>
      <w:pPr>
        <w:rPr>
          <w:rFonts w:hint="eastAsia"/>
        </w:rPr>
      </w:pPr>
    </w:p>
    <w:p>
      <w:pPr>
        <w:spacing w:beforeLines="100" w:afterLines="100"/>
        <w:rPr>
          <w:rFonts w:hint="eastAsia"/>
          <w:b/>
          <w:sz w:val="24"/>
          <w:szCs w:val="24"/>
          <w:lang w:eastAsia="zh-CN"/>
        </w:rPr>
      </w:pPr>
      <w:r>
        <w:rPr>
          <w:rFonts w:hint="eastAsia"/>
          <w:b/>
          <w:sz w:val="24"/>
          <w:szCs w:val="24"/>
          <w:lang w:eastAsia="zh-CN"/>
        </w:rPr>
        <w:t>四、</w:t>
      </w:r>
      <w:r>
        <w:rPr>
          <w:rFonts w:hint="eastAsia"/>
          <w:b/>
          <w:sz w:val="24"/>
          <w:szCs w:val="24"/>
          <w:lang w:val="en-US" w:eastAsia="zh-CN"/>
        </w:rPr>
        <w:t>7月份</w:t>
      </w:r>
      <w:r>
        <w:rPr>
          <w:rFonts w:hint="eastAsia"/>
          <w:b/>
          <w:sz w:val="24"/>
          <w:szCs w:val="24"/>
          <w:lang w:eastAsia="zh-CN"/>
        </w:rPr>
        <w:t>中概股情况</w:t>
      </w:r>
    </w:p>
    <w:p>
      <w:r>
        <w:rPr>
          <w:rFonts w:hint="eastAsia"/>
          <w:b/>
          <w:bCs/>
        </w:rPr>
        <w:t xml:space="preserve">中概股7月现状： </w:t>
      </w:r>
    </w:p>
    <w:p>
      <w:pPr>
        <w:numPr>
          <w:ilvl w:val="0"/>
          <w:numId w:val="2"/>
        </w:numPr>
      </w:pPr>
      <w:r>
        <w:rPr>
          <w:rFonts w:hint="eastAsia"/>
        </w:rPr>
        <w:t xml:space="preserve">A股市场在7月份继续下挫，中概股也没能扛住。在美上市中资股彭博指数在7月份累计下跌8.2%，创下自2014年1月以来的最大单月跌幅。从个股来看，网秦股价在7月份累计下跌32%，在中资股彭博指数成分股中表现最差。窝窝团股价在7月份累计下跌近47%至4.22美元，今年4月上市时窝窝团的发行价为10美元。 </w:t>
      </w:r>
    </w:p>
    <w:p>
      <w:pPr>
        <w:numPr>
          <w:ilvl w:val="0"/>
          <w:numId w:val="2"/>
        </w:numPr>
      </w:pPr>
      <w:r>
        <w:rPr>
          <w:rFonts w:hint="eastAsia"/>
        </w:rPr>
        <w:t xml:space="preserve">7月，全球市场一片狼藉，除了欧洲主要股市维持小幅向上走势，大宗商品的跌幅达到两位数，其中布伦特原油跌幅达到17%，也是今年以来跌得最惨的一个月。 </w:t>
      </w:r>
    </w:p>
    <w:p>
      <w:pPr>
        <w:numPr>
          <w:ilvl w:val="0"/>
          <w:numId w:val="2"/>
        </w:numPr>
        <w:rPr>
          <w:rFonts w:hint="eastAsia"/>
        </w:rPr>
      </w:pPr>
      <w:r>
        <w:rPr>
          <w:rFonts w:hint="eastAsia"/>
        </w:rPr>
        <w:t>中概股市场整体表现不佳，中概股企业的“归心”依旧未改。A股出现一场波澜壮阔的“动荡”之后，依然远比海外市场的估值要高，这被认为是中概股私有化回归的重要支撑点。与此同时，一些已经提出私有化的中概股公司，也在加速私有化退市的进程。就在7月份，曾经的“B2C电商第一股”麦考林宣布其董事会已收到来自南京商圈网和Leading Capital发出的初步非约束性收购要约。</w:t>
      </w:r>
    </w:p>
    <w:p>
      <w:pPr>
        <w:rPr>
          <w:b/>
        </w:rPr>
      </w:pPr>
      <w:r>
        <w:rPr>
          <w:rFonts w:hint="eastAsia"/>
          <w:b/>
        </w:rPr>
        <w:t>中概股回归进展</w:t>
      </w:r>
    </w:p>
    <w:p>
      <w:pPr>
        <w:numPr>
          <w:ilvl w:val="0"/>
          <w:numId w:val="3"/>
        </w:numPr>
      </w:pPr>
      <w:r>
        <w:rPr>
          <w:rFonts w:hint="eastAsia"/>
        </w:rPr>
        <w:t xml:space="preserve">7月9日当当网和欢聚时代分别以ADS$7.812和ADS$68.5宣布私有化邀约与一个月前因羡慕暴风科技在A股市场获得高估值而加入“回归”大军的中概股不同，这时恰逢A股遭遇史无前例的快速连续下跌。A股的下跌不仅令众多创业板公司的估值在短短几周时间内被“打回原形”，但此轮A股暴跌或在某种程度上还为中概股的私有化提供了降低成本、加快进程的机会。对于未上市VIE企业而言，可选择先登陆新三板，如近期互动百科、百姓网均宣布已完成拆除VIE，并拟于下半年正式挂牌新三板 </w:t>
      </w:r>
    </w:p>
    <w:p>
      <w:pPr>
        <w:numPr>
          <w:ilvl w:val="0"/>
          <w:numId w:val="3"/>
        </w:numPr>
      </w:pPr>
      <w:r>
        <w:rPr>
          <w:rFonts w:hint="eastAsia"/>
        </w:rPr>
        <w:t>7月27日,学大教育(NYSE:XUE)宣布,将以3.5亿美元的交易价格从纽约证券交易所退市。学大教育将以每股美国存托股ADS$5.5的价格收购买家持有的全部已发行普通股。</w:t>
      </w:r>
    </w:p>
    <w:p>
      <w:r>
        <w:rPr>
          <w:rFonts w:hint="eastAsia"/>
        </w:rPr>
        <w:tab/>
      </w:r>
      <w:r>
        <w:rPr>
          <w:rFonts w:hint="eastAsia"/>
        </w:rPr>
        <w:t xml:space="preserve">7月26日,银润投资召开第七届董事会第四十二次会议,审议通过了《关于公司非公开发行A股股票框架性方案的议案》。框架方案中,公司拟以本次非公开发行募集的资金约23亿元用于收购美国纽约交易所上市公司学大教育。同时,董事会逐项审议通过关于签署附条件生效的《合并协议》、《VIE终止协议》、《支持协议》的议案。 </w:t>
      </w:r>
    </w:p>
    <w:p>
      <w:pPr>
        <w:numPr>
          <w:ilvl w:val="0"/>
          <w:numId w:val="4"/>
        </w:numPr>
        <w:rPr>
          <w:rFonts w:hint="eastAsia"/>
        </w:rPr>
      </w:pPr>
      <w:r>
        <w:rPr>
          <w:rFonts w:hint="eastAsia"/>
        </w:rPr>
        <w:t>7月31日，被市场视为中概股“回归潮”开端案例的分众传媒，正谋划放弃借壳宏达新材，转投战略新兴板实现回归国内资本市场。</w:t>
      </w:r>
    </w:p>
    <w:p>
      <w:pPr>
        <w:ind w:left="720"/>
      </w:pPr>
    </w:p>
    <w:p>
      <w:r>
        <w:rPr>
          <w:rFonts w:hint="eastAsia"/>
          <w:b/>
          <w:bCs/>
        </w:rPr>
        <w:t>北京获冬奥会举办权之受益中概股</w:t>
      </w:r>
      <w:r>
        <w:t xml:space="preserve"> </w:t>
      </w:r>
    </w:p>
    <w:p>
      <w:r>
        <w:rPr>
          <w:rFonts w:hint="eastAsia"/>
        </w:rPr>
        <w:tab/>
      </w:r>
      <w:r>
        <w:rPr>
          <w:rFonts w:hint="eastAsia"/>
        </w:rPr>
        <w:t xml:space="preserve">7月31日，北京获得冬奥会举办权，一批中外旅游股受益，其中去哪儿由于总部设立在北京，且兼具在海外纳斯达克上市等多重因素，将成为受益最大的中概股。 </w:t>
      </w:r>
    </w:p>
    <w:p>
      <w:r>
        <w:rPr>
          <w:rFonts w:hint="eastAsia"/>
          <w:b/>
          <w:bCs/>
        </w:rPr>
        <w:t>原因有以下几点：</w:t>
      </w:r>
    </w:p>
    <w:p>
      <w:pPr>
        <w:numPr>
          <w:ilvl w:val="0"/>
          <w:numId w:val="5"/>
        </w:numPr>
      </w:pPr>
      <w:r>
        <w:rPr>
          <w:rFonts w:hint="eastAsia"/>
        </w:rPr>
        <w:t>从2013年开始去哪儿便已成为中国最大的机票销售平台，目前，去哪儿国际机票对全球航点城市的覆盖率已达99%。</w:t>
      </w:r>
    </w:p>
    <w:p>
      <w:pPr>
        <w:numPr>
          <w:ilvl w:val="0"/>
          <w:numId w:val="5"/>
        </w:numPr>
      </w:pPr>
      <w:r>
        <w:rPr>
          <w:rFonts w:hint="eastAsia"/>
        </w:rPr>
        <w:t>由于持续的高速增长，去哪儿酒店已经获得业内第二的地位。　　</w:t>
      </w:r>
    </w:p>
    <w:p>
      <w:pPr>
        <w:numPr>
          <w:ilvl w:val="0"/>
          <w:numId w:val="5"/>
        </w:numPr>
      </w:pPr>
      <w:r>
        <w:rPr>
          <w:rFonts w:hint="eastAsia"/>
        </w:rPr>
        <w:t>事实上，国内旅游类APP的发展模式，是由去哪儿一手创建的。有很多个第一：第一个覆盖多平台的旅游类APP；第一个解决移动端支付的旅游类APP；第一个可以以在手机上直接订酒店的旅游类APP；以及第一个建立酒店夜销模式的旅游类APP；第一个平台化的旅游类APP。由于界面清晰简捷，利于消费者操作，去哪儿旅行APP一直是业内“被抄袭”的对象。</w:t>
      </w:r>
    </w:p>
    <w:p>
      <w:pPr>
        <w:numPr>
          <w:ilvl w:val="0"/>
          <w:numId w:val="5"/>
        </w:numPr>
      </w:pPr>
      <w:r>
        <w:rPr>
          <w:rFonts w:hint="eastAsia"/>
        </w:rPr>
        <w:t>随着去哪儿成为百度地图界面上酒店产品的唯一供应商，用户可以点击地图上的酒店进行浏览并完成预定。</w:t>
      </w:r>
    </w:p>
    <w:p>
      <w:pPr>
        <w:numPr>
          <w:ilvl w:val="0"/>
          <w:numId w:val="5"/>
        </w:numPr>
      </w:pPr>
      <w:r>
        <w:rPr>
          <w:rFonts w:hint="eastAsia"/>
        </w:rPr>
        <w:t>股市方面，自从7月27日中国A股周一的收盘跌幅创下8年来之最后，美市中概股开盘即下挫4.5%，其中红筹股和科技板块的跌势尤为沉重。但，7月31日北京获得冬奥会举办权后，去哪儿当日开盘即迎来小幅上涨。</w:t>
      </w:r>
    </w:p>
    <w:p>
      <w:pPr>
        <w:spacing w:beforeLines="100" w:afterLines="100"/>
        <w:rPr>
          <w:b/>
          <w:sz w:val="24"/>
          <w:szCs w:val="24"/>
        </w:rPr>
      </w:pPr>
      <w:r>
        <w:rPr>
          <w:rFonts w:hint="eastAsia"/>
          <w:b/>
          <w:sz w:val="24"/>
          <w:szCs w:val="24"/>
          <w:lang w:eastAsia="zh-CN"/>
        </w:rPr>
        <w:t>五、</w:t>
      </w:r>
      <w:r>
        <w:rPr>
          <w:rFonts w:hint="eastAsia"/>
          <w:b/>
          <w:sz w:val="24"/>
          <w:szCs w:val="24"/>
        </w:rPr>
        <w:t>七月份投资者需要注意什么？</w:t>
      </w:r>
    </w:p>
    <w:p>
      <w:pPr>
        <w:spacing w:beforeLines="50" w:afterLines="50"/>
        <w:ind w:firstLine="422" w:firstLineChars="200"/>
        <w:rPr>
          <w:rFonts w:ascii="宋体" w:hAnsi="宋体"/>
          <w:b/>
          <w:szCs w:val="21"/>
        </w:rPr>
      </w:pPr>
      <w:r>
        <w:rPr>
          <w:rFonts w:hint="eastAsia" w:ascii="宋体" w:hAnsi="宋体"/>
          <w:b/>
          <w:szCs w:val="21"/>
        </w:rPr>
        <w:t>1. 后市展望</w:t>
      </w:r>
    </w:p>
    <w:p>
      <w:pPr>
        <w:spacing w:line="360" w:lineRule="auto"/>
        <w:ind w:firstLine="420" w:firstLineChars="200"/>
        <w:rPr>
          <w:rFonts w:ascii="宋体" w:hAnsi="宋体"/>
          <w:szCs w:val="21"/>
        </w:rPr>
      </w:pPr>
      <w:r>
        <w:rPr>
          <w:rFonts w:hint="eastAsia" w:ascii="宋体" w:hAnsi="宋体"/>
          <w:szCs w:val="21"/>
        </w:rPr>
        <w:t>本月在政府联系强力救市后出现了一波快速而猛烈的拉升，但最终遭遇前期套牢盘压力而再次走弱，空头气氛再次弥漫。</w:t>
      </w:r>
    </w:p>
    <w:p>
      <w:pPr>
        <w:spacing w:line="360" w:lineRule="auto"/>
        <w:ind w:firstLine="420" w:firstLineChars="200"/>
        <w:rPr>
          <w:rFonts w:ascii="宋体" w:hAnsi="宋体"/>
          <w:szCs w:val="21"/>
        </w:rPr>
      </w:pPr>
      <w:r>
        <w:rPr>
          <w:rFonts w:hint="eastAsia" w:ascii="宋体" w:hAnsi="宋体"/>
          <w:szCs w:val="21"/>
        </w:rPr>
        <w:t>目前市场信心不足，场外资金迟迟不愿入场，仅剩场内存量资金博弈，谨防持续阴跌，操作上，超跌后可少量买入，逢反弹卖出，短线操作；重点关注前期调整幅度较大、基本面较好的各行业龙头股，也可关注部分优质次新股。</w:t>
      </w:r>
    </w:p>
    <w:p>
      <w:pPr>
        <w:spacing w:line="360" w:lineRule="auto"/>
        <w:ind w:firstLine="422" w:firstLineChars="200"/>
        <w:rPr>
          <w:rFonts w:ascii="宋体" w:hAnsi="宋体"/>
          <w:b/>
          <w:szCs w:val="21"/>
        </w:rPr>
      </w:pPr>
      <w:r>
        <w:rPr>
          <w:rFonts w:hint="eastAsia" w:ascii="宋体" w:hAnsi="宋体"/>
          <w:b/>
          <w:szCs w:val="21"/>
        </w:rPr>
        <w:t>2.重点个股点评</w:t>
      </w:r>
    </w:p>
    <w:p>
      <w:pPr>
        <w:spacing w:line="360" w:lineRule="auto"/>
        <w:ind w:firstLine="420" w:firstLineChars="200"/>
        <w:rPr>
          <w:rFonts w:ascii="宋体" w:hAnsi="宋体"/>
          <w:szCs w:val="21"/>
        </w:rPr>
      </w:pPr>
      <w:r>
        <w:rPr>
          <w:rFonts w:hint="eastAsia" w:ascii="宋体" w:hAnsi="宋体"/>
          <w:szCs w:val="21"/>
        </w:rPr>
        <w:t>三诺生物（300298）：国内血糖仪龙头，积极扩张医疗服务，27元以下可积极关注。</w:t>
      </w:r>
    </w:p>
    <w:p>
      <w:pPr>
        <w:spacing w:line="360" w:lineRule="auto"/>
        <w:ind w:firstLine="420" w:firstLineChars="200"/>
        <w:rPr>
          <w:rFonts w:hint="eastAsia" w:ascii="宋体" w:hAnsi="宋体"/>
          <w:szCs w:val="21"/>
        </w:rPr>
      </w:pPr>
      <w:r>
        <w:rPr>
          <w:rFonts w:hint="eastAsia" w:ascii="宋体" w:hAnsi="宋体"/>
          <w:szCs w:val="21"/>
        </w:rPr>
        <w:t>中兴通讯（000063）：A股通信设备行业龙头，多项新兴产业布局有望受到资本市场的持续关注，中线跌破17元以下后可积极建仓。</w:t>
      </w:r>
    </w:p>
    <w:p>
      <w:pPr>
        <w:spacing w:line="360" w:lineRule="auto"/>
        <w:ind w:firstLine="420" w:firstLineChars="200"/>
        <w:rPr>
          <w:rFonts w:ascii="宋体" w:hAnsi="宋体"/>
          <w:szCs w:val="21"/>
        </w:rPr>
      </w:pPr>
      <w:r>
        <w:rPr>
          <w:rFonts w:hint="eastAsia" w:ascii="宋体" w:hAnsi="宋体"/>
          <w:szCs w:val="21"/>
        </w:rPr>
        <w:t>天士力（600535）：国内中药龙头企业，中线40元以下安全边际较高。</w:t>
      </w:r>
    </w:p>
    <w:p>
      <w:pPr>
        <w:spacing w:line="360" w:lineRule="auto"/>
        <w:ind w:firstLine="420" w:firstLineChars="200"/>
        <w:rPr>
          <w:rFonts w:hint="eastAsia" w:ascii="宋体" w:hAnsi="宋体"/>
          <w:szCs w:val="21"/>
        </w:rPr>
      </w:pPr>
      <w:r>
        <w:rPr>
          <w:rFonts w:hint="eastAsia" w:ascii="宋体" w:hAnsi="宋体"/>
          <w:szCs w:val="21"/>
        </w:rPr>
        <w:t>大族激光（002008）：国内激光应用龙头，中线21元以下可给予关注。</w:t>
      </w:r>
      <w:r>
        <w:rPr>
          <w:rFonts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奥瑞金（002701）：A股金属包装龙头，</w:t>
      </w:r>
      <w:r>
        <w:rPr>
          <w:rFonts w:hint="eastAsia" w:ascii="宋体" w:hAnsi="宋体" w:cs="仿宋"/>
          <w:color w:val="000000"/>
          <w:szCs w:val="21"/>
        </w:rPr>
        <w:t>业绩平稳增长，分红慷慨，短期产能利用率高，且仍在扩产，有助于确保中期业绩的持续增长，</w:t>
      </w:r>
      <w:r>
        <w:rPr>
          <w:rFonts w:hint="eastAsia" w:ascii="宋体" w:hAnsi="宋体"/>
          <w:szCs w:val="21"/>
        </w:rPr>
        <w:t>中线25元以下可积极关注。</w:t>
      </w:r>
    </w:p>
    <w:p>
      <w:pPr>
        <w:spacing w:line="360" w:lineRule="auto"/>
        <w:ind w:firstLine="420" w:firstLineChars="200"/>
        <w:rPr>
          <w:rFonts w:ascii="宋体" w:hAnsi="宋体"/>
          <w:szCs w:val="21"/>
        </w:rPr>
      </w:pPr>
      <w:r>
        <w:rPr>
          <w:rFonts w:hint="eastAsia" w:ascii="宋体" w:hAnsi="宋体"/>
          <w:szCs w:val="21"/>
        </w:rPr>
        <w:t>宏发股份（600885）：国内继电器龙头企业，成立机器人公司加快自动化装备水平升级；近期走势非常强势，后市若有调整，可在30元以下逐步逢低吸纳。</w:t>
      </w:r>
    </w:p>
    <w:p>
      <w:pPr>
        <w:spacing w:line="360" w:lineRule="auto"/>
        <w:ind w:firstLine="420" w:firstLineChars="200"/>
        <w:rPr>
          <w:rFonts w:ascii="宋体" w:hAnsi="宋体"/>
          <w:szCs w:val="21"/>
        </w:rPr>
      </w:pPr>
      <w:r>
        <w:rPr>
          <w:rFonts w:hint="eastAsia" w:ascii="宋体" w:hAnsi="宋体"/>
          <w:szCs w:val="21"/>
        </w:rPr>
        <w:t>万向钱潮（000559）：国内汽车零部件龙头，业绩稳步增长，万向电动车注入是最主要看点；中线12元以下可积极关注。</w:t>
      </w:r>
    </w:p>
    <w:p>
      <w:pPr>
        <w:spacing w:line="360" w:lineRule="auto"/>
        <w:ind w:firstLine="420" w:firstLineChars="200"/>
        <w:rPr>
          <w:rFonts w:ascii="宋体" w:hAnsi="宋体"/>
          <w:szCs w:val="21"/>
        </w:rPr>
      </w:pPr>
      <w:r>
        <w:rPr>
          <w:rFonts w:hint="eastAsia" w:ascii="宋体" w:hAnsi="宋体"/>
          <w:szCs w:val="21"/>
        </w:rPr>
        <w:t>新宙邦（300037）：国内锂电池电解液和电容化学品龙头，新建产能将陆续释放；中线若能跌破25元，可给予关注。</w:t>
      </w:r>
    </w:p>
    <w:p>
      <w:pPr>
        <w:spacing w:line="360" w:lineRule="auto"/>
        <w:ind w:firstLine="482" w:firstLineChars="200"/>
        <w:rPr>
          <w:rFonts w:hint="eastAsia"/>
          <w:b/>
          <w:sz w:val="24"/>
          <w:szCs w:val="24"/>
          <w:lang w:eastAsia="zh-CN"/>
        </w:rPr>
      </w:pPr>
      <w:r>
        <w:rPr>
          <w:rFonts w:hint="eastAsia"/>
          <w:b/>
          <w:sz w:val="24"/>
          <w:szCs w:val="24"/>
          <w:lang w:eastAsia="zh-CN"/>
        </w:rPr>
        <w:t>六、投资心得</w:t>
      </w:r>
      <w:bookmarkStart w:id="0" w:name="_GoBack"/>
      <w:bookmarkEnd w:id="0"/>
    </w:p>
    <w:p>
      <w:pPr>
        <w:spacing w:line="360" w:lineRule="auto"/>
        <w:ind w:firstLine="420" w:firstLineChars="200"/>
        <w:rPr>
          <w:rFonts w:hint="eastAsia" w:ascii="宋体" w:hAnsi="宋体"/>
          <w:szCs w:val="21"/>
          <w:lang w:eastAsia="zh-CN"/>
        </w:rPr>
      </w:pPr>
      <w:r>
        <w:rPr>
          <w:rFonts w:hint="eastAsia" w:ascii="宋体" w:hAnsi="宋体"/>
          <w:szCs w:val="21"/>
          <w:lang w:eastAsia="zh-CN"/>
        </w:rPr>
        <w:t>作为操盘手，有两点需要注意。第一是关于心态，要时刻保持冷静，来面对盘中由各种不确定因素带来的极端走势，尤其是在操作失误后，不要心浮气躁，妄图立马把失去的补回来，这样往往会连续犯错、无法挽回。最好的方法是头脑放空，暂时忘记这次失败，待心情平静下来后继续操作并总结过错。</w:t>
      </w:r>
    </w:p>
    <w:p>
      <w:pPr>
        <w:spacing w:line="360" w:lineRule="auto"/>
        <w:ind w:firstLine="420" w:firstLineChars="200"/>
        <w:rPr>
          <w:rFonts w:hint="eastAsia" w:ascii="宋体" w:hAnsi="宋体"/>
          <w:szCs w:val="21"/>
          <w:lang w:eastAsia="zh-CN"/>
        </w:rPr>
      </w:pPr>
      <w:r>
        <w:rPr>
          <w:rFonts w:hint="eastAsia" w:ascii="宋体" w:hAnsi="宋体"/>
          <w:szCs w:val="21"/>
          <w:lang w:eastAsia="zh-CN"/>
        </w:rPr>
        <w:t>第二是关于仓位，控制风险是操盘中最值得注意的，控制仓位能更好的控制风险，一般不建议满仓操作，涨了自然好，要是下跌那可就麻烦了。留的青山在，不怕没柴烧，给自己留条后路。</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8594255">
    <w:nsid w:val="55BF34CF"/>
    <w:multiLevelType w:val="singleLevel"/>
    <w:tmpl w:val="55BF34CF"/>
    <w:lvl w:ilvl="0" w:tentative="1">
      <w:start w:val="3"/>
      <w:numFmt w:val="chineseCounting"/>
      <w:suff w:val="space"/>
      <w:lvlText w:val="%1."/>
      <w:lvlJc w:val="left"/>
    </w:lvl>
  </w:abstractNum>
  <w:abstractNum w:abstractNumId="1549612305">
    <w:nsid w:val="5C5D3511"/>
    <w:multiLevelType w:val="multilevel"/>
    <w:tmpl w:val="5C5D3511"/>
    <w:lvl w:ilvl="0" w:tentative="1">
      <w:start w:val="1"/>
      <w:numFmt w:val="bullet"/>
      <w:lvlText w:val="•"/>
      <w:lvlJc w:val="left"/>
      <w:pPr>
        <w:tabs>
          <w:tab w:val="left" w:pos="720"/>
        </w:tabs>
        <w:ind w:left="720" w:hanging="360"/>
      </w:pPr>
      <w:rPr>
        <w:rFonts w:hint="default" w:ascii="Arial" w:hAnsi="Arial"/>
      </w:rPr>
    </w:lvl>
    <w:lvl w:ilvl="1" w:tentative="1">
      <w:start w:val="1"/>
      <w:numFmt w:val="bullet"/>
      <w:lvlText w:val="•"/>
      <w:lvlJc w:val="left"/>
      <w:pPr>
        <w:tabs>
          <w:tab w:val="left" w:pos="1440"/>
        </w:tabs>
        <w:ind w:left="1440" w:hanging="360"/>
      </w:pPr>
      <w:rPr>
        <w:rFonts w:hint="default" w:ascii="Arial" w:hAnsi="Arial"/>
      </w:rPr>
    </w:lvl>
    <w:lvl w:ilvl="2" w:tentative="1">
      <w:start w:val="1"/>
      <w:numFmt w:val="bullet"/>
      <w:lvlText w:val="•"/>
      <w:lvlJc w:val="left"/>
      <w:pPr>
        <w:tabs>
          <w:tab w:val="left" w:pos="2160"/>
        </w:tabs>
        <w:ind w:left="2160" w:hanging="360"/>
      </w:pPr>
      <w:rPr>
        <w:rFonts w:hint="default" w:ascii="Arial" w:hAnsi="Arial"/>
      </w:rPr>
    </w:lvl>
    <w:lvl w:ilvl="3" w:tentative="1">
      <w:start w:val="1"/>
      <w:numFmt w:val="bullet"/>
      <w:lvlText w:val="•"/>
      <w:lvlJc w:val="left"/>
      <w:pPr>
        <w:tabs>
          <w:tab w:val="left" w:pos="2880"/>
        </w:tabs>
        <w:ind w:left="2880" w:hanging="360"/>
      </w:pPr>
      <w:rPr>
        <w:rFonts w:hint="default" w:ascii="Arial" w:hAnsi="Arial"/>
      </w:rPr>
    </w:lvl>
    <w:lvl w:ilvl="4" w:tentative="1">
      <w:start w:val="1"/>
      <w:numFmt w:val="bullet"/>
      <w:lvlText w:val="•"/>
      <w:lvlJc w:val="left"/>
      <w:pPr>
        <w:tabs>
          <w:tab w:val="left" w:pos="3600"/>
        </w:tabs>
        <w:ind w:left="3600" w:hanging="360"/>
      </w:pPr>
      <w:rPr>
        <w:rFonts w:hint="default" w:ascii="Arial" w:hAnsi="Arial"/>
      </w:rPr>
    </w:lvl>
    <w:lvl w:ilvl="5" w:tentative="1">
      <w:start w:val="1"/>
      <w:numFmt w:val="bullet"/>
      <w:lvlText w:val="•"/>
      <w:lvlJc w:val="left"/>
      <w:pPr>
        <w:tabs>
          <w:tab w:val="left" w:pos="4320"/>
        </w:tabs>
        <w:ind w:left="4320" w:hanging="360"/>
      </w:pPr>
      <w:rPr>
        <w:rFonts w:hint="default" w:ascii="Arial" w:hAnsi="Arial"/>
      </w:rPr>
    </w:lvl>
    <w:lvl w:ilvl="6" w:tentative="1">
      <w:start w:val="1"/>
      <w:numFmt w:val="bullet"/>
      <w:lvlText w:val="•"/>
      <w:lvlJc w:val="left"/>
      <w:pPr>
        <w:tabs>
          <w:tab w:val="left" w:pos="5040"/>
        </w:tabs>
        <w:ind w:left="5040" w:hanging="360"/>
      </w:pPr>
      <w:rPr>
        <w:rFonts w:hint="default" w:ascii="Arial" w:hAnsi="Arial"/>
      </w:rPr>
    </w:lvl>
    <w:lvl w:ilvl="7" w:tentative="1">
      <w:start w:val="1"/>
      <w:numFmt w:val="bullet"/>
      <w:lvlText w:val="•"/>
      <w:lvlJc w:val="left"/>
      <w:pPr>
        <w:tabs>
          <w:tab w:val="left" w:pos="5760"/>
        </w:tabs>
        <w:ind w:left="5760" w:hanging="360"/>
      </w:pPr>
      <w:rPr>
        <w:rFonts w:hint="default" w:ascii="Arial" w:hAnsi="Arial"/>
      </w:rPr>
    </w:lvl>
    <w:lvl w:ilvl="8" w:tentative="1">
      <w:start w:val="1"/>
      <w:numFmt w:val="bullet"/>
      <w:lvlText w:val="•"/>
      <w:lvlJc w:val="left"/>
      <w:pPr>
        <w:tabs>
          <w:tab w:val="left" w:pos="6480"/>
        </w:tabs>
        <w:ind w:left="6480" w:hanging="360"/>
      </w:pPr>
      <w:rPr>
        <w:rFonts w:hint="default" w:ascii="Arial" w:hAnsi="Arial"/>
      </w:rPr>
    </w:lvl>
  </w:abstractNum>
  <w:abstractNum w:abstractNumId="1741097155">
    <w:nsid w:val="67C708C3"/>
    <w:multiLevelType w:val="multilevel"/>
    <w:tmpl w:val="67C708C3"/>
    <w:lvl w:ilvl="0" w:tentative="1">
      <w:start w:val="1"/>
      <w:numFmt w:val="bullet"/>
      <w:lvlText w:val="•"/>
      <w:lvlJc w:val="left"/>
      <w:pPr>
        <w:tabs>
          <w:tab w:val="left" w:pos="720"/>
        </w:tabs>
        <w:ind w:left="720" w:hanging="360"/>
      </w:pPr>
      <w:rPr>
        <w:rFonts w:hint="default" w:ascii="Arial" w:hAnsi="Arial"/>
      </w:rPr>
    </w:lvl>
    <w:lvl w:ilvl="1" w:tentative="1">
      <w:start w:val="1"/>
      <w:numFmt w:val="bullet"/>
      <w:lvlText w:val="•"/>
      <w:lvlJc w:val="left"/>
      <w:pPr>
        <w:tabs>
          <w:tab w:val="left" w:pos="1440"/>
        </w:tabs>
        <w:ind w:left="1440" w:hanging="360"/>
      </w:pPr>
      <w:rPr>
        <w:rFonts w:hint="default" w:ascii="Arial" w:hAnsi="Arial"/>
      </w:rPr>
    </w:lvl>
    <w:lvl w:ilvl="2" w:tentative="1">
      <w:start w:val="1"/>
      <w:numFmt w:val="bullet"/>
      <w:lvlText w:val="•"/>
      <w:lvlJc w:val="left"/>
      <w:pPr>
        <w:tabs>
          <w:tab w:val="left" w:pos="2160"/>
        </w:tabs>
        <w:ind w:left="2160" w:hanging="360"/>
      </w:pPr>
      <w:rPr>
        <w:rFonts w:hint="default" w:ascii="Arial" w:hAnsi="Arial"/>
      </w:rPr>
    </w:lvl>
    <w:lvl w:ilvl="3" w:tentative="1">
      <w:start w:val="1"/>
      <w:numFmt w:val="bullet"/>
      <w:lvlText w:val="•"/>
      <w:lvlJc w:val="left"/>
      <w:pPr>
        <w:tabs>
          <w:tab w:val="left" w:pos="2880"/>
        </w:tabs>
        <w:ind w:left="2880" w:hanging="360"/>
      </w:pPr>
      <w:rPr>
        <w:rFonts w:hint="default" w:ascii="Arial" w:hAnsi="Arial"/>
      </w:rPr>
    </w:lvl>
    <w:lvl w:ilvl="4" w:tentative="1">
      <w:start w:val="1"/>
      <w:numFmt w:val="bullet"/>
      <w:lvlText w:val="•"/>
      <w:lvlJc w:val="left"/>
      <w:pPr>
        <w:tabs>
          <w:tab w:val="left" w:pos="3600"/>
        </w:tabs>
        <w:ind w:left="3600" w:hanging="360"/>
      </w:pPr>
      <w:rPr>
        <w:rFonts w:hint="default" w:ascii="Arial" w:hAnsi="Arial"/>
      </w:rPr>
    </w:lvl>
    <w:lvl w:ilvl="5" w:tentative="1">
      <w:start w:val="1"/>
      <w:numFmt w:val="bullet"/>
      <w:lvlText w:val="•"/>
      <w:lvlJc w:val="left"/>
      <w:pPr>
        <w:tabs>
          <w:tab w:val="left" w:pos="4320"/>
        </w:tabs>
        <w:ind w:left="4320" w:hanging="360"/>
      </w:pPr>
      <w:rPr>
        <w:rFonts w:hint="default" w:ascii="Arial" w:hAnsi="Arial"/>
      </w:rPr>
    </w:lvl>
    <w:lvl w:ilvl="6" w:tentative="1">
      <w:start w:val="1"/>
      <w:numFmt w:val="bullet"/>
      <w:lvlText w:val="•"/>
      <w:lvlJc w:val="left"/>
      <w:pPr>
        <w:tabs>
          <w:tab w:val="left" w:pos="5040"/>
        </w:tabs>
        <w:ind w:left="5040" w:hanging="360"/>
      </w:pPr>
      <w:rPr>
        <w:rFonts w:hint="default" w:ascii="Arial" w:hAnsi="Arial"/>
      </w:rPr>
    </w:lvl>
    <w:lvl w:ilvl="7" w:tentative="1">
      <w:start w:val="1"/>
      <w:numFmt w:val="bullet"/>
      <w:lvlText w:val="•"/>
      <w:lvlJc w:val="left"/>
      <w:pPr>
        <w:tabs>
          <w:tab w:val="left" w:pos="5760"/>
        </w:tabs>
        <w:ind w:left="5760" w:hanging="360"/>
      </w:pPr>
      <w:rPr>
        <w:rFonts w:hint="default" w:ascii="Arial" w:hAnsi="Arial"/>
      </w:rPr>
    </w:lvl>
    <w:lvl w:ilvl="8" w:tentative="1">
      <w:start w:val="1"/>
      <w:numFmt w:val="bullet"/>
      <w:lvlText w:val="•"/>
      <w:lvlJc w:val="left"/>
      <w:pPr>
        <w:tabs>
          <w:tab w:val="left" w:pos="6480"/>
        </w:tabs>
        <w:ind w:left="6480" w:hanging="360"/>
      </w:pPr>
      <w:rPr>
        <w:rFonts w:hint="default" w:ascii="Arial" w:hAnsi="Arial"/>
      </w:rPr>
    </w:lvl>
  </w:abstractNum>
  <w:abstractNum w:abstractNumId="2121990963">
    <w:nsid w:val="7E7B0333"/>
    <w:multiLevelType w:val="multilevel"/>
    <w:tmpl w:val="7E7B0333"/>
    <w:lvl w:ilvl="0" w:tentative="1">
      <w:start w:val="1"/>
      <w:numFmt w:val="bullet"/>
      <w:lvlText w:val="•"/>
      <w:lvlJc w:val="left"/>
      <w:pPr>
        <w:tabs>
          <w:tab w:val="left" w:pos="720"/>
        </w:tabs>
        <w:ind w:left="720" w:hanging="360"/>
      </w:pPr>
      <w:rPr>
        <w:rFonts w:hint="default" w:ascii="Arial" w:hAnsi="Arial"/>
      </w:rPr>
    </w:lvl>
    <w:lvl w:ilvl="1" w:tentative="1">
      <w:start w:val="1"/>
      <w:numFmt w:val="bullet"/>
      <w:lvlText w:val="•"/>
      <w:lvlJc w:val="left"/>
      <w:pPr>
        <w:tabs>
          <w:tab w:val="left" w:pos="1440"/>
        </w:tabs>
        <w:ind w:left="1440" w:hanging="360"/>
      </w:pPr>
      <w:rPr>
        <w:rFonts w:hint="default" w:ascii="Arial" w:hAnsi="Arial"/>
      </w:rPr>
    </w:lvl>
    <w:lvl w:ilvl="2" w:tentative="1">
      <w:start w:val="1"/>
      <w:numFmt w:val="bullet"/>
      <w:lvlText w:val="•"/>
      <w:lvlJc w:val="left"/>
      <w:pPr>
        <w:tabs>
          <w:tab w:val="left" w:pos="2160"/>
        </w:tabs>
        <w:ind w:left="2160" w:hanging="360"/>
      </w:pPr>
      <w:rPr>
        <w:rFonts w:hint="default" w:ascii="Arial" w:hAnsi="Arial"/>
      </w:rPr>
    </w:lvl>
    <w:lvl w:ilvl="3" w:tentative="1">
      <w:start w:val="1"/>
      <w:numFmt w:val="bullet"/>
      <w:lvlText w:val="•"/>
      <w:lvlJc w:val="left"/>
      <w:pPr>
        <w:tabs>
          <w:tab w:val="left" w:pos="2880"/>
        </w:tabs>
        <w:ind w:left="2880" w:hanging="360"/>
      </w:pPr>
      <w:rPr>
        <w:rFonts w:hint="default" w:ascii="Arial" w:hAnsi="Arial"/>
      </w:rPr>
    </w:lvl>
    <w:lvl w:ilvl="4" w:tentative="1">
      <w:start w:val="1"/>
      <w:numFmt w:val="bullet"/>
      <w:lvlText w:val="•"/>
      <w:lvlJc w:val="left"/>
      <w:pPr>
        <w:tabs>
          <w:tab w:val="left" w:pos="3600"/>
        </w:tabs>
        <w:ind w:left="3600" w:hanging="360"/>
      </w:pPr>
      <w:rPr>
        <w:rFonts w:hint="default" w:ascii="Arial" w:hAnsi="Arial"/>
      </w:rPr>
    </w:lvl>
    <w:lvl w:ilvl="5" w:tentative="1">
      <w:start w:val="1"/>
      <w:numFmt w:val="bullet"/>
      <w:lvlText w:val="•"/>
      <w:lvlJc w:val="left"/>
      <w:pPr>
        <w:tabs>
          <w:tab w:val="left" w:pos="4320"/>
        </w:tabs>
        <w:ind w:left="4320" w:hanging="360"/>
      </w:pPr>
      <w:rPr>
        <w:rFonts w:hint="default" w:ascii="Arial" w:hAnsi="Arial"/>
      </w:rPr>
    </w:lvl>
    <w:lvl w:ilvl="6" w:tentative="1">
      <w:start w:val="1"/>
      <w:numFmt w:val="bullet"/>
      <w:lvlText w:val="•"/>
      <w:lvlJc w:val="left"/>
      <w:pPr>
        <w:tabs>
          <w:tab w:val="left" w:pos="5040"/>
        </w:tabs>
        <w:ind w:left="5040" w:hanging="360"/>
      </w:pPr>
      <w:rPr>
        <w:rFonts w:hint="default" w:ascii="Arial" w:hAnsi="Arial"/>
      </w:rPr>
    </w:lvl>
    <w:lvl w:ilvl="7" w:tentative="1">
      <w:start w:val="1"/>
      <w:numFmt w:val="bullet"/>
      <w:lvlText w:val="•"/>
      <w:lvlJc w:val="left"/>
      <w:pPr>
        <w:tabs>
          <w:tab w:val="left" w:pos="5760"/>
        </w:tabs>
        <w:ind w:left="5760" w:hanging="360"/>
      </w:pPr>
      <w:rPr>
        <w:rFonts w:hint="default" w:ascii="Arial" w:hAnsi="Arial"/>
      </w:rPr>
    </w:lvl>
    <w:lvl w:ilvl="8" w:tentative="1">
      <w:start w:val="1"/>
      <w:numFmt w:val="bullet"/>
      <w:lvlText w:val="•"/>
      <w:lvlJc w:val="left"/>
      <w:pPr>
        <w:tabs>
          <w:tab w:val="left" w:pos="6480"/>
        </w:tabs>
        <w:ind w:left="6480" w:hanging="360"/>
      </w:pPr>
      <w:rPr>
        <w:rFonts w:hint="default" w:ascii="Arial" w:hAnsi="Arial"/>
      </w:rPr>
    </w:lvl>
  </w:abstractNum>
  <w:abstractNum w:abstractNumId="1937669536">
    <w:nsid w:val="737E7DA0"/>
    <w:multiLevelType w:val="multilevel"/>
    <w:tmpl w:val="737E7DA0"/>
    <w:lvl w:ilvl="0" w:tentative="1">
      <w:start w:val="1"/>
      <w:numFmt w:val="bullet"/>
      <w:lvlText w:val="•"/>
      <w:lvlJc w:val="left"/>
      <w:pPr>
        <w:tabs>
          <w:tab w:val="left" w:pos="720"/>
        </w:tabs>
        <w:ind w:left="720" w:hanging="360"/>
      </w:pPr>
      <w:rPr>
        <w:rFonts w:hint="default" w:ascii="Arial" w:hAnsi="Arial"/>
      </w:rPr>
    </w:lvl>
    <w:lvl w:ilvl="1" w:tentative="1">
      <w:start w:val="1"/>
      <w:numFmt w:val="bullet"/>
      <w:lvlText w:val="•"/>
      <w:lvlJc w:val="left"/>
      <w:pPr>
        <w:tabs>
          <w:tab w:val="left" w:pos="1440"/>
        </w:tabs>
        <w:ind w:left="1440" w:hanging="360"/>
      </w:pPr>
      <w:rPr>
        <w:rFonts w:hint="default" w:ascii="Arial" w:hAnsi="Arial"/>
      </w:rPr>
    </w:lvl>
    <w:lvl w:ilvl="2" w:tentative="1">
      <w:start w:val="1"/>
      <w:numFmt w:val="bullet"/>
      <w:lvlText w:val="•"/>
      <w:lvlJc w:val="left"/>
      <w:pPr>
        <w:tabs>
          <w:tab w:val="left" w:pos="2160"/>
        </w:tabs>
        <w:ind w:left="2160" w:hanging="360"/>
      </w:pPr>
      <w:rPr>
        <w:rFonts w:hint="default" w:ascii="Arial" w:hAnsi="Arial"/>
      </w:rPr>
    </w:lvl>
    <w:lvl w:ilvl="3" w:tentative="1">
      <w:start w:val="1"/>
      <w:numFmt w:val="bullet"/>
      <w:lvlText w:val="•"/>
      <w:lvlJc w:val="left"/>
      <w:pPr>
        <w:tabs>
          <w:tab w:val="left" w:pos="2880"/>
        </w:tabs>
        <w:ind w:left="2880" w:hanging="360"/>
      </w:pPr>
      <w:rPr>
        <w:rFonts w:hint="default" w:ascii="Arial" w:hAnsi="Arial"/>
      </w:rPr>
    </w:lvl>
    <w:lvl w:ilvl="4" w:tentative="1">
      <w:start w:val="1"/>
      <w:numFmt w:val="bullet"/>
      <w:lvlText w:val="•"/>
      <w:lvlJc w:val="left"/>
      <w:pPr>
        <w:tabs>
          <w:tab w:val="left" w:pos="3600"/>
        </w:tabs>
        <w:ind w:left="3600" w:hanging="360"/>
      </w:pPr>
      <w:rPr>
        <w:rFonts w:hint="default" w:ascii="Arial" w:hAnsi="Arial"/>
      </w:rPr>
    </w:lvl>
    <w:lvl w:ilvl="5" w:tentative="1">
      <w:start w:val="1"/>
      <w:numFmt w:val="bullet"/>
      <w:lvlText w:val="•"/>
      <w:lvlJc w:val="left"/>
      <w:pPr>
        <w:tabs>
          <w:tab w:val="left" w:pos="4320"/>
        </w:tabs>
        <w:ind w:left="4320" w:hanging="360"/>
      </w:pPr>
      <w:rPr>
        <w:rFonts w:hint="default" w:ascii="Arial" w:hAnsi="Arial"/>
      </w:rPr>
    </w:lvl>
    <w:lvl w:ilvl="6" w:tentative="1">
      <w:start w:val="1"/>
      <w:numFmt w:val="bullet"/>
      <w:lvlText w:val="•"/>
      <w:lvlJc w:val="left"/>
      <w:pPr>
        <w:tabs>
          <w:tab w:val="left" w:pos="5040"/>
        </w:tabs>
        <w:ind w:left="5040" w:hanging="360"/>
      </w:pPr>
      <w:rPr>
        <w:rFonts w:hint="default" w:ascii="Arial" w:hAnsi="Arial"/>
      </w:rPr>
    </w:lvl>
    <w:lvl w:ilvl="7" w:tentative="1">
      <w:start w:val="1"/>
      <w:numFmt w:val="bullet"/>
      <w:lvlText w:val="•"/>
      <w:lvlJc w:val="left"/>
      <w:pPr>
        <w:tabs>
          <w:tab w:val="left" w:pos="5760"/>
        </w:tabs>
        <w:ind w:left="5760" w:hanging="360"/>
      </w:pPr>
      <w:rPr>
        <w:rFonts w:hint="default" w:ascii="Arial" w:hAnsi="Arial"/>
      </w:rPr>
    </w:lvl>
    <w:lvl w:ilvl="8" w:tentative="1">
      <w:start w:val="1"/>
      <w:numFmt w:val="bullet"/>
      <w:lvlText w:val="•"/>
      <w:lvlJc w:val="left"/>
      <w:pPr>
        <w:tabs>
          <w:tab w:val="left" w:pos="6480"/>
        </w:tabs>
        <w:ind w:left="6480" w:hanging="360"/>
      </w:pPr>
      <w:rPr>
        <w:rFonts w:hint="default" w:ascii="Arial" w:hAnsi="Arial"/>
      </w:rPr>
    </w:lvl>
  </w:abstractNum>
  <w:num w:numId="1">
    <w:abstractNumId w:val="1438594255"/>
  </w:num>
  <w:num w:numId="2">
    <w:abstractNumId w:val="2121990963"/>
  </w:num>
  <w:num w:numId="3">
    <w:abstractNumId w:val="1937669536"/>
  </w:num>
  <w:num w:numId="4">
    <w:abstractNumId w:val="1741097155"/>
  </w:num>
  <w:num w:numId="5">
    <w:abstractNumId w:val="1549612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86648"/>
    <w:rsid w:val="00034BB6"/>
    <w:rsid w:val="00037389"/>
    <w:rsid w:val="00072D98"/>
    <w:rsid w:val="00086421"/>
    <w:rsid w:val="000B3E6D"/>
    <w:rsid w:val="000D784F"/>
    <w:rsid w:val="000E1E05"/>
    <w:rsid w:val="00140617"/>
    <w:rsid w:val="001D2465"/>
    <w:rsid w:val="00232EEB"/>
    <w:rsid w:val="002A4796"/>
    <w:rsid w:val="002B7EB2"/>
    <w:rsid w:val="002C46E8"/>
    <w:rsid w:val="002C481D"/>
    <w:rsid w:val="002C713D"/>
    <w:rsid w:val="0031064F"/>
    <w:rsid w:val="0037546A"/>
    <w:rsid w:val="00383E5F"/>
    <w:rsid w:val="00395E57"/>
    <w:rsid w:val="00401069"/>
    <w:rsid w:val="004730DE"/>
    <w:rsid w:val="004745B6"/>
    <w:rsid w:val="004E609E"/>
    <w:rsid w:val="0051574F"/>
    <w:rsid w:val="005376D4"/>
    <w:rsid w:val="00582307"/>
    <w:rsid w:val="005D380B"/>
    <w:rsid w:val="00606B24"/>
    <w:rsid w:val="006136AD"/>
    <w:rsid w:val="0061736C"/>
    <w:rsid w:val="0065456D"/>
    <w:rsid w:val="00663F64"/>
    <w:rsid w:val="00682E5A"/>
    <w:rsid w:val="006D0C1C"/>
    <w:rsid w:val="00717E3C"/>
    <w:rsid w:val="00741B3E"/>
    <w:rsid w:val="007D36CB"/>
    <w:rsid w:val="007F71BE"/>
    <w:rsid w:val="00804B85"/>
    <w:rsid w:val="008347A6"/>
    <w:rsid w:val="008D6B75"/>
    <w:rsid w:val="00901253"/>
    <w:rsid w:val="0090277D"/>
    <w:rsid w:val="00935118"/>
    <w:rsid w:val="00947E71"/>
    <w:rsid w:val="00961215"/>
    <w:rsid w:val="00987AF0"/>
    <w:rsid w:val="009A6052"/>
    <w:rsid w:val="00A0131F"/>
    <w:rsid w:val="00A303E1"/>
    <w:rsid w:val="00A36C91"/>
    <w:rsid w:val="00A6522C"/>
    <w:rsid w:val="00AA0E8E"/>
    <w:rsid w:val="00AB2758"/>
    <w:rsid w:val="00AB5E5E"/>
    <w:rsid w:val="00AF1209"/>
    <w:rsid w:val="00B7338D"/>
    <w:rsid w:val="00BE1AD6"/>
    <w:rsid w:val="00BF201C"/>
    <w:rsid w:val="00C2238D"/>
    <w:rsid w:val="00CC3C0B"/>
    <w:rsid w:val="00D558C0"/>
    <w:rsid w:val="00D77B6F"/>
    <w:rsid w:val="00D81696"/>
    <w:rsid w:val="00E43AC6"/>
    <w:rsid w:val="00E50041"/>
    <w:rsid w:val="00EA1788"/>
    <w:rsid w:val="00EF3860"/>
    <w:rsid w:val="00F44B2E"/>
    <w:rsid w:val="00F47D8C"/>
    <w:rsid w:val="00F52DCE"/>
    <w:rsid w:val="00F86648"/>
    <w:rsid w:val="01395B91"/>
    <w:rsid w:val="0A413560"/>
    <w:rsid w:val="10F85465"/>
    <w:rsid w:val="201054AB"/>
    <w:rsid w:val="2BBB564C"/>
    <w:rsid w:val="2C2F3677"/>
    <w:rsid w:val="2D4B705C"/>
    <w:rsid w:val="3B356BB3"/>
    <w:rsid w:val="3EFC7E62"/>
    <w:rsid w:val="44736C5A"/>
    <w:rsid w:val="48644951"/>
    <w:rsid w:val="48C40DF3"/>
    <w:rsid w:val="49233A8B"/>
    <w:rsid w:val="50AB1369"/>
    <w:rsid w:val="5C7D13C9"/>
    <w:rsid w:val="5E5A675C"/>
    <w:rsid w:val="63F77605"/>
    <w:rsid w:val="64025D23"/>
    <w:rsid w:val="64654742"/>
    <w:rsid w:val="6B7867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
    <w:pPr>
      <w:keepNext/>
      <w:keepLines/>
      <w:spacing w:line="360" w:lineRule="auto"/>
      <w:jc w:val="left"/>
      <w:outlineLvl w:val="1"/>
    </w:pPr>
    <w:rPr>
      <w:rFonts w:ascii="Arial" w:hAnsi="Arial" w:eastAsia="宋体" w:cs="Times New Roman"/>
      <w:b/>
      <w:szCs w:val="20"/>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Balloon Text"/>
    <w:basedOn w:val="1"/>
    <w:link w:val="10"/>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批注框文本 Char"/>
    <w:basedOn w:val="6"/>
    <w:link w:val="3"/>
    <w:semiHidden/>
    <w:uiPriority w:val="99"/>
    <w:rPr>
      <w:sz w:val="18"/>
      <w:szCs w:val="18"/>
    </w:rPr>
  </w:style>
  <w:style w:type="character" w:customStyle="1" w:styleId="11">
    <w:name w:val="标题 2 Char"/>
    <w:basedOn w:val="6"/>
    <w:link w:val="2"/>
    <w:uiPriority w:val="9"/>
    <w:rPr>
      <w:rFonts w:ascii="Arial" w:hAnsi="Arial" w:eastAsia="宋体" w:cs="Times New Roman"/>
      <w:b/>
      <w:szCs w:val="2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292</Words>
  <Characters>1667</Characters>
  <Lines>13</Lines>
  <Paragraphs>3</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2015-07-22T01:31:00Z</dcterms:created>
  <dc:creator>SDWM</dc:creator>
  <cp:lastModifiedBy>Administrator</cp:lastModifiedBy>
  <dcterms:modified xsi:type="dcterms:W3CDTF">2015-08-04T09:38:40Z</dcterms:modified>
  <dc:title>7月投资通讯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