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A9" w:rsidRDefault="00FB76BA" w:rsidP="002303A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指数运行情况分析</w:t>
      </w:r>
    </w:p>
    <w:p w:rsidR="005F77A9" w:rsidRDefault="00F00AFE" w:rsidP="001C019E">
      <w:pPr>
        <w:pStyle w:val="1"/>
        <w:spacing w:before="200" w:after="200" w:line="360" w:lineRule="auto"/>
      </w:pPr>
      <w:bookmarkStart w:id="0" w:name="_Toc424829043"/>
      <w:r>
        <w:rPr>
          <w:rFonts w:hint="eastAsia"/>
        </w:rPr>
        <w:t>一</w:t>
      </w:r>
      <w:r w:rsidR="00715690">
        <w:rPr>
          <w:rFonts w:hint="eastAsia"/>
        </w:rPr>
        <w:t>.</w:t>
      </w:r>
      <w:r w:rsidR="005F77A9">
        <w:rPr>
          <w:rFonts w:hint="eastAsia"/>
        </w:rPr>
        <w:t>市场表现</w:t>
      </w:r>
      <w:bookmarkEnd w:id="0"/>
    </w:p>
    <w:p w:rsidR="005A397D" w:rsidRPr="00BB3452" w:rsidRDefault="005A397D" w:rsidP="00BB345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B3452">
        <w:rPr>
          <w:rFonts w:asciiTheme="minorEastAsia" w:hAnsiTheme="minorEastAsia" w:hint="eastAsia"/>
        </w:rPr>
        <w:t>SBL中国民企52指数本月开盘</w:t>
      </w:r>
      <w:r w:rsidR="0095502A" w:rsidRPr="00BB3452">
        <w:rPr>
          <w:rFonts w:asciiTheme="minorEastAsia" w:hAnsiTheme="minorEastAsia"/>
        </w:rPr>
        <w:t>722.07</w:t>
      </w:r>
      <w:r w:rsidRPr="00BB3452">
        <w:rPr>
          <w:rFonts w:asciiTheme="minorEastAsia" w:hAnsiTheme="minorEastAsia" w:hint="eastAsia"/>
        </w:rPr>
        <w:t>点，最高</w:t>
      </w:r>
      <w:r w:rsidR="0095502A" w:rsidRPr="00BB3452">
        <w:rPr>
          <w:rFonts w:asciiTheme="minorEastAsia" w:hAnsiTheme="minorEastAsia"/>
        </w:rPr>
        <w:t>750.61</w:t>
      </w:r>
      <w:r w:rsidRPr="00BB3452">
        <w:rPr>
          <w:rFonts w:asciiTheme="minorEastAsia" w:hAnsiTheme="minorEastAsia" w:hint="eastAsia"/>
        </w:rPr>
        <w:t>点，最低</w:t>
      </w:r>
      <w:r w:rsidR="0095502A" w:rsidRPr="00BB3452">
        <w:rPr>
          <w:rFonts w:asciiTheme="minorEastAsia" w:hAnsiTheme="minorEastAsia"/>
        </w:rPr>
        <w:t>601.39</w:t>
      </w:r>
      <w:r w:rsidRPr="00BB3452">
        <w:rPr>
          <w:rFonts w:asciiTheme="minorEastAsia" w:hAnsiTheme="minorEastAsia" w:hint="eastAsia"/>
        </w:rPr>
        <w:t>点，收盘</w:t>
      </w:r>
      <w:r w:rsidR="0095502A" w:rsidRPr="00BB3452">
        <w:rPr>
          <w:rFonts w:asciiTheme="minorEastAsia" w:hAnsiTheme="minorEastAsia" w:hint="eastAsia"/>
        </w:rPr>
        <w:t>624.85</w:t>
      </w:r>
      <w:r w:rsidRPr="00BB3452">
        <w:rPr>
          <w:rFonts w:asciiTheme="minorEastAsia" w:hAnsiTheme="minorEastAsia" w:hint="eastAsia"/>
        </w:rPr>
        <w:t>点，下跌</w:t>
      </w:r>
      <w:r w:rsidR="000207AF">
        <w:rPr>
          <w:rFonts w:asciiTheme="minorEastAsia" w:hAnsiTheme="minorEastAsia" w:hint="eastAsia"/>
        </w:rPr>
        <w:t>205.77</w:t>
      </w:r>
      <w:r w:rsidRPr="00BB3452">
        <w:rPr>
          <w:rFonts w:asciiTheme="minorEastAsia" w:hAnsiTheme="minorEastAsia" w:hint="eastAsia"/>
        </w:rPr>
        <w:t>点，跌幅</w:t>
      </w:r>
      <w:r w:rsidR="0089644E" w:rsidRPr="00BB3452">
        <w:rPr>
          <w:rFonts w:asciiTheme="minorEastAsia" w:hAnsiTheme="minorEastAsia" w:hint="eastAsia"/>
        </w:rPr>
        <w:t>2</w:t>
      </w:r>
      <w:r w:rsidRPr="00BB3452">
        <w:rPr>
          <w:rFonts w:asciiTheme="minorEastAsia" w:hAnsiTheme="minorEastAsia" w:hint="eastAsia"/>
        </w:rPr>
        <w:t>4</w:t>
      </w:r>
      <w:r w:rsidR="000207AF">
        <w:rPr>
          <w:rFonts w:asciiTheme="minorEastAsia" w:hAnsiTheme="minorEastAsia" w:hint="eastAsia"/>
        </w:rPr>
        <w:t>.8</w:t>
      </w:r>
      <w:r w:rsidRPr="00BB3452">
        <w:rPr>
          <w:rFonts w:asciiTheme="minorEastAsia" w:hAnsiTheme="minorEastAsia" w:hint="eastAsia"/>
        </w:rPr>
        <w:t>%</w:t>
      </w:r>
      <w:r w:rsidR="00A122E4">
        <w:rPr>
          <w:rFonts w:asciiTheme="minorEastAsia" w:hAnsiTheme="minorEastAsia" w:hint="eastAsia"/>
        </w:rPr>
        <w:t>。</w:t>
      </w:r>
      <w:r w:rsidR="00716F34" w:rsidRPr="00BB3452">
        <w:rPr>
          <w:rFonts w:asciiTheme="minorEastAsia" w:hAnsiTheme="minorEastAsia" w:hint="eastAsia"/>
        </w:rPr>
        <w:t>同期，上证综指跌幅14.4%，沪深300跌幅14.7%，深证成指跌幅13.7%</w:t>
      </w:r>
      <w:r w:rsidR="00BB3452" w:rsidRPr="00BB3452">
        <w:rPr>
          <w:rFonts w:asciiTheme="minorEastAsia" w:hAnsiTheme="minorEastAsia" w:hint="eastAsia"/>
        </w:rPr>
        <w:t>；</w:t>
      </w:r>
      <w:r w:rsidR="00BB3452" w:rsidRPr="00BB3452">
        <w:rPr>
          <w:rFonts w:asciiTheme="minorEastAsia" w:hAnsiTheme="minorEastAsia" w:hint="eastAsia"/>
          <w:szCs w:val="21"/>
        </w:rPr>
        <w:t>中小板指数跌幅9.71%；创业板指数跌幅11.15%。</w:t>
      </w:r>
    </w:p>
    <w:p w:rsidR="005A397D" w:rsidRPr="002F751A" w:rsidRDefault="00B045CB" w:rsidP="009603FA">
      <w:pPr>
        <w:spacing w:beforeLines="50"/>
        <w:ind w:firstLineChars="200" w:firstLine="422"/>
        <w:jc w:val="center"/>
        <w:rPr>
          <w:b/>
        </w:rPr>
      </w:pPr>
      <w:r>
        <w:rPr>
          <w:rFonts w:hint="eastAsia"/>
          <w:b/>
        </w:rPr>
        <w:t>图表</w:t>
      </w:r>
      <w:r>
        <w:rPr>
          <w:rFonts w:hint="eastAsia"/>
          <w:b/>
        </w:rPr>
        <w:t>1</w:t>
      </w:r>
      <w:r>
        <w:rPr>
          <w:rFonts w:hint="eastAsia"/>
          <w:b/>
        </w:rPr>
        <w:t>：</w:t>
      </w:r>
      <w:r w:rsidR="005A397D" w:rsidRPr="005A397D">
        <w:rPr>
          <w:rFonts w:hint="eastAsia"/>
          <w:b/>
        </w:rPr>
        <w:t>52</w:t>
      </w:r>
      <w:r w:rsidR="005A397D" w:rsidRPr="005A397D">
        <w:rPr>
          <w:rFonts w:hint="eastAsia"/>
          <w:b/>
        </w:rPr>
        <w:t>指数</w:t>
      </w:r>
      <w:r w:rsidR="005A397D">
        <w:rPr>
          <w:rFonts w:hint="eastAsia"/>
          <w:b/>
        </w:rPr>
        <w:t>与其他主要指数收盘情况</w:t>
      </w:r>
    </w:p>
    <w:tbl>
      <w:tblPr>
        <w:tblStyle w:val="a6"/>
        <w:tblW w:w="8897" w:type="dxa"/>
        <w:tblLook w:val="04A0"/>
      </w:tblPr>
      <w:tblGrid>
        <w:gridCol w:w="1217"/>
        <w:gridCol w:w="1217"/>
        <w:gridCol w:w="986"/>
        <w:gridCol w:w="1448"/>
        <w:gridCol w:w="1218"/>
        <w:gridCol w:w="1535"/>
        <w:gridCol w:w="1276"/>
      </w:tblGrid>
      <w:tr w:rsidR="00765C64" w:rsidTr="00F17815">
        <w:tc>
          <w:tcPr>
            <w:tcW w:w="1217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17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  <w:r>
              <w:rPr>
                <w:rFonts w:hint="eastAsia"/>
                <w:color w:val="000000"/>
                <w:sz w:val="22"/>
              </w:rPr>
              <w:t>指数</w:t>
            </w:r>
          </w:p>
        </w:tc>
        <w:tc>
          <w:tcPr>
            <w:tcW w:w="986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上证</w:t>
            </w:r>
          </w:p>
        </w:tc>
        <w:tc>
          <w:tcPr>
            <w:tcW w:w="1448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深证成指</w:t>
            </w:r>
          </w:p>
        </w:tc>
        <w:tc>
          <w:tcPr>
            <w:tcW w:w="1218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深证民营</w:t>
            </w:r>
          </w:p>
        </w:tc>
        <w:tc>
          <w:tcPr>
            <w:tcW w:w="1535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中证</w:t>
            </w:r>
            <w:r w:rsidR="00765C64">
              <w:rPr>
                <w:rFonts w:hint="eastAsia"/>
                <w:color w:val="000000"/>
                <w:sz w:val="22"/>
              </w:rPr>
              <w:t>民企</w:t>
            </w:r>
            <w:r w:rsidR="00765C64">
              <w:rPr>
                <w:rFonts w:hint="eastAsia"/>
                <w:color w:val="000000"/>
                <w:sz w:val="22"/>
              </w:rPr>
              <w:t>200</w:t>
            </w:r>
          </w:p>
        </w:tc>
        <w:tc>
          <w:tcPr>
            <w:tcW w:w="1276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沪深</w:t>
            </w:r>
            <w:r>
              <w:rPr>
                <w:rFonts w:hint="eastAsia"/>
                <w:color w:val="000000"/>
                <w:sz w:val="22"/>
              </w:rPr>
              <w:t>300</w:t>
            </w:r>
          </w:p>
        </w:tc>
      </w:tr>
      <w:tr w:rsidR="00765C64" w:rsidTr="00F17815">
        <w:tc>
          <w:tcPr>
            <w:tcW w:w="1217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上月收盘</w:t>
            </w:r>
          </w:p>
        </w:tc>
        <w:tc>
          <w:tcPr>
            <w:tcW w:w="1217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830.62</w:t>
            </w:r>
          </w:p>
        </w:tc>
        <w:tc>
          <w:tcPr>
            <w:tcW w:w="986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4277.22</w:t>
            </w:r>
          </w:p>
        </w:tc>
        <w:tc>
          <w:tcPr>
            <w:tcW w:w="1448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14337.97</w:t>
            </w:r>
          </w:p>
        </w:tc>
        <w:tc>
          <w:tcPr>
            <w:tcW w:w="1218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5701.16</w:t>
            </w:r>
          </w:p>
        </w:tc>
        <w:tc>
          <w:tcPr>
            <w:tcW w:w="1535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2197.3</w:t>
            </w:r>
            <w:r w:rsidRPr="00F17815">
              <w:rPr>
                <w:rFonts w:ascii="宋体" w:eastAsia="宋体" w:hAnsi="宋体" w:cs="宋体"/>
                <w:color w:val="000000"/>
                <w:sz w:val="22"/>
              </w:rPr>
              <w:tab/>
            </w:r>
          </w:p>
        </w:tc>
        <w:tc>
          <w:tcPr>
            <w:tcW w:w="1276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4473</w:t>
            </w:r>
          </w:p>
        </w:tc>
      </w:tr>
      <w:tr w:rsidR="00765C64" w:rsidTr="00F17815">
        <w:tc>
          <w:tcPr>
            <w:tcW w:w="1217" w:type="dxa"/>
            <w:vAlign w:val="center"/>
          </w:tcPr>
          <w:p w:rsidR="00765C64" w:rsidRDefault="00765C64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本月收盘</w:t>
            </w:r>
          </w:p>
        </w:tc>
        <w:tc>
          <w:tcPr>
            <w:tcW w:w="1217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624.85</w:t>
            </w:r>
          </w:p>
        </w:tc>
        <w:tc>
          <w:tcPr>
            <w:tcW w:w="986" w:type="dxa"/>
            <w:vAlign w:val="center"/>
          </w:tcPr>
          <w:p w:rsidR="00765C64" w:rsidRDefault="00F17815" w:rsidP="009C2C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3663.7</w:t>
            </w:r>
            <w:r w:rsidR="009C2CE0">
              <w:rPr>
                <w:rFonts w:ascii="宋体" w:eastAsia="宋体" w:hAnsi="宋体" w:cs="宋体" w:hint="eastAsia"/>
                <w:color w:val="000000"/>
                <w:sz w:val="22"/>
              </w:rPr>
              <w:t>3</w:t>
            </w:r>
          </w:p>
        </w:tc>
        <w:tc>
          <w:tcPr>
            <w:tcW w:w="1448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12374.25</w:t>
            </w:r>
          </w:p>
        </w:tc>
        <w:tc>
          <w:tcPr>
            <w:tcW w:w="1218" w:type="dxa"/>
            <w:vAlign w:val="center"/>
          </w:tcPr>
          <w:p w:rsidR="00765C64" w:rsidRDefault="00F1781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5139.96</w:t>
            </w:r>
          </w:p>
        </w:tc>
        <w:tc>
          <w:tcPr>
            <w:tcW w:w="1535" w:type="dxa"/>
            <w:vAlign w:val="center"/>
          </w:tcPr>
          <w:p w:rsidR="00765C64" w:rsidRDefault="00F17815" w:rsidP="009C2C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1959.84</w:t>
            </w:r>
          </w:p>
        </w:tc>
        <w:tc>
          <w:tcPr>
            <w:tcW w:w="1276" w:type="dxa"/>
            <w:vAlign w:val="center"/>
          </w:tcPr>
          <w:p w:rsidR="00765C64" w:rsidRDefault="00F17815" w:rsidP="009C2CE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F17815">
              <w:rPr>
                <w:rFonts w:ascii="宋体" w:eastAsia="宋体" w:hAnsi="宋体" w:cs="宋体"/>
                <w:color w:val="000000"/>
                <w:sz w:val="22"/>
              </w:rPr>
              <w:t>3816.</w:t>
            </w:r>
            <w:r w:rsidR="009C2CE0">
              <w:rPr>
                <w:rFonts w:ascii="宋体" w:eastAsia="宋体" w:hAnsi="宋体" w:cs="宋体" w:hint="eastAsia"/>
                <w:color w:val="000000"/>
                <w:sz w:val="22"/>
              </w:rPr>
              <w:t>70</w:t>
            </w:r>
          </w:p>
        </w:tc>
      </w:tr>
    </w:tbl>
    <w:p w:rsidR="005A397D" w:rsidRDefault="005A397D" w:rsidP="005A397D"/>
    <w:p w:rsidR="00B045CB" w:rsidRPr="00BB3452" w:rsidRDefault="00B045CB" w:rsidP="00BB345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B3452">
        <w:rPr>
          <w:rFonts w:asciiTheme="minorEastAsia" w:hAnsiTheme="minorEastAsia" w:hint="eastAsia"/>
        </w:rPr>
        <w:t>2015年6月份SBL52中国民企成指、上证</w:t>
      </w:r>
      <w:r w:rsidR="00AE6625" w:rsidRPr="00BB3452">
        <w:rPr>
          <w:rFonts w:asciiTheme="minorEastAsia" w:hAnsiTheme="minorEastAsia" w:hint="eastAsia"/>
        </w:rPr>
        <w:t>综合</w:t>
      </w:r>
      <w:r w:rsidRPr="00BB3452">
        <w:rPr>
          <w:rFonts w:asciiTheme="minorEastAsia" w:hAnsiTheme="minorEastAsia" w:hint="eastAsia"/>
        </w:rPr>
        <w:t>指数、深证成指、沪深300、</w:t>
      </w:r>
      <w:r w:rsidR="00EA6546" w:rsidRPr="00BB3452">
        <w:rPr>
          <w:rFonts w:asciiTheme="minorEastAsia" w:hAnsiTheme="minorEastAsia" w:hint="eastAsia"/>
        </w:rPr>
        <w:t>中证</w:t>
      </w:r>
      <w:r w:rsidRPr="00BB3452">
        <w:rPr>
          <w:rFonts w:asciiTheme="minorEastAsia" w:hAnsiTheme="minorEastAsia" w:hint="eastAsia"/>
        </w:rPr>
        <w:t>民企200、深证民营指数日涨跌百分比数据走势叠加对比，如下图：</w:t>
      </w:r>
    </w:p>
    <w:p w:rsidR="005A397D" w:rsidRPr="00F00AFE" w:rsidRDefault="00B045CB" w:rsidP="009603FA">
      <w:pPr>
        <w:spacing w:beforeLines="50"/>
        <w:ind w:firstLineChars="1075" w:firstLine="2266"/>
      </w:pPr>
      <w:r>
        <w:rPr>
          <w:rFonts w:hint="eastAsia"/>
          <w:b/>
        </w:rPr>
        <w:t>图表</w:t>
      </w:r>
      <w:r>
        <w:rPr>
          <w:rFonts w:hint="eastAsia"/>
          <w:b/>
        </w:rPr>
        <w:t>2</w:t>
      </w:r>
      <w:r w:rsidR="00152968">
        <w:rPr>
          <w:rFonts w:hint="eastAsia"/>
          <w:b/>
        </w:rPr>
        <w:t>：</w:t>
      </w:r>
      <w:r w:rsidR="004757FC">
        <w:rPr>
          <w:rFonts w:hint="eastAsia"/>
          <w:b/>
        </w:rPr>
        <w:t>三大</w:t>
      </w:r>
      <w:r w:rsidR="005A397D">
        <w:rPr>
          <w:rFonts w:hint="eastAsia"/>
          <w:b/>
        </w:rPr>
        <w:t>指数市场表现对比</w:t>
      </w:r>
    </w:p>
    <w:p w:rsidR="00247BB4" w:rsidRDefault="00247BB4" w:rsidP="00247BB4">
      <w:pPr>
        <w:ind w:firstLineChars="50" w:firstLine="105"/>
        <w:jc w:val="left"/>
      </w:pPr>
      <w:r w:rsidRPr="00247BB4">
        <w:drawing>
          <wp:inline distT="0" distB="0" distL="0" distR="0">
            <wp:extent cx="5274310" cy="3458113"/>
            <wp:effectExtent l="19050" t="0" r="21590" b="8987"/>
            <wp:docPr id="6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EE5" w:rsidRDefault="00B31EE5" w:rsidP="00022137">
      <w:pPr>
        <w:spacing w:beforeLines="50"/>
        <w:ind w:firstLineChars="200" w:firstLine="422"/>
        <w:jc w:val="center"/>
        <w:rPr>
          <w:rFonts w:hint="eastAsia"/>
          <w:b/>
        </w:rPr>
      </w:pPr>
    </w:p>
    <w:p w:rsidR="00B31EE5" w:rsidRDefault="00B31EE5" w:rsidP="00022137">
      <w:pPr>
        <w:spacing w:beforeLines="50"/>
        <w:ind w:firstLineChars="200" w:firstLine="422"/>
        <w:jc w:val="center"/>
        <w:rPr>
          <w:rFonts w:hint="eastAsia"/>
          <w:b/>
        </w:rPr>
      </w:pPr>
    </w:p>
    <w:p w:rsidR="00B31EE5" w:rsidRDefault="00B31EE5" w:rsidP="00022137">
      <w:pPr>
        <w:spacing w:beforeLines="50"/>
        <w:ind w:firstLineChars="200" w:firstLine="422"/>
        <w:jc w:val="center"/>
        <w:rPr>
          <w:rFonts w:hint="eastAsia"/>
          <w:b/>
        </w:rPr>
      </w:pPr>
    </w:p>
    <w:p w:rsidR="00B31EE5" w:rsidRDefault="00B31EE5" w:rsidP="00022137">
      <w:pPr>
        <w:spacing w:beforeLines="50"/>
        <w:ind w:firstLineChars="200" w:firstLine="422"/>
        <w:jc w:val="center"/>
        <w:rPr>
          <w:rFonts w:hint="eastAsia"/>
          <w:b/>
        </w:rPr>
      </w:pPr>
    </w:p>
    <w:p w:rsidR="003F5343" w:rsidRPr="00B31EE5" w:rsidRDefault="003F5343" w:rsidP="00B31EE5">
      <w:pPr>
        <w:spacing w:beforeLines="50"/>
        <w:ind w:firstLineChars="200" w:firstLine="422"/>
        <w:jc w:val="center"/>
      </w:pPr>
      <w:r>
        <w:rPr>
          <w:rFonts w:hint="eastAsia"/>
          <w:b/>
        </w:rPr>
        <w:lastRenderedPageBreak/>
        <w:t>图表</w:t>
      </w:r>
      <w:r>
        <w:rPr>
          <w:rFonts w:hint="eastAsia"/>
          <w:b/>
        </w:rPr>
        <w:t>3</w:t>
      </w:r>
      <w:r>
        <w:rPr>
          <w:rFonts w:hint="eastAsia"/>
          <w:b/>
        </w:rPr>
        <w:t>：</w:t>
      </w:r>
      <w:r w:rsidR="00BB623F" w:rsidRPr="00BB623F">
        <w:rPr>
          <w:rFonts w:hint="eastAsia"/>
          <w:b/>
        </w:rPr>
        <w:t>SBL52</w:t>
      </w:r>
      <w:r w:rsidR="00BB623F">
        <w:rPr>
          <w:rFonts w:hint="eastAsia"/>
          <w:b/>
        </w:rPr>
        <w:t>指数与同类</w:t>
      </w:r>
      <w:r w:rsidR="00D22B45">
        <w:rPr>
          <w:rFonts w:hint="eastAsia"/>
          <w:b/>
        </w:rPr>
        <w:t>民企</w:t>
      </w:r>
      <w:r w:rsidR="00BB623F">
        <w:rPr>
          <w:rFonts w:hint="eastAsia"/>
          <w:b/>
        </w:rPr>
        <w:t>指数</w:t>
      </w:r>
      <w:r>
        <w:rPr>
          <w:rFonts w:hint="eastAsia"/>
          <w:b/>
        </w:rPr>
        <w:t>表现对比</w:t>
      </w:r>
    </w:p>
    <w:p w:rsidR="005F77A9" w:rsidRPr="003F5343" w:rsidRDefault="00740001" w:rsidP="00740001">
      <w:pPr>
        <w:ind w:firstLineChars="150" w:firstLine="315"/>
      </w:pPr>
      <w:r w:rsidRPr="00740001">
        <w:drawing>
          <wp:inline distT="0" distB="0" distL="0" distR="0">
            <wp:extent cx="5274310" cy="3471033"/>
            <wp:effectExtent l="19050" t="0" r="21590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77A9" w:rsidRDefault="00F00AFE" w:rsidP="001C019E">
      <w:pPr>
        <w:pStyle w:val="1"/>
        <w:spacing w:before="200" w:after="200" w:line="360" w:lineRule="auto"/>
      </w:pPr>
      <w:bookmarkStart w:id="1" w:name="_Toc424829044"/>
      <w:r>
        <w:rPr>
          <w:rFonts w:hint="eastAsia"/>
        </w:rPr>
        <w:t>二</w:t>
      </w:r>
      <w:r w:rsidR="00715690">
        <w:rPr>
          <w:rFonts w:hint="eastAsia"/>
        </w:rPr>
        <w:t>.</w:t>
      </w:r>
      <w:r w:rsidR="005F77A9">
        <w:rPr>
          <w:rFonts w:hint="eastAsia"/>
        </w:rPr>
        <w:t>行业与公司权重</w:t>
      </w:r>
      <w:bookmarkEnd w:id="1"/>
    </w:p>
    <w:p w:rsidR="008E4912" w:rsidRDefault="008E4912" w:rsidP="00BB3452">
      <w:pPr>
        <w:spacing w:line="360" w:lineRule="auto"/>
        <w:ind w:firstLineChars="200" w:firstLine="420"/>
        <w:rPr>
          <w:rFonts w:asciiTheme="minorEastAsia" w:hAnsiTheme="minorEastAsia" w:hint="eastAsia"/>
        </w:rPr>
      </w:pPr>
      <w:r w:rsidRPr="008E4912">
        <w:rPr>
          <w:rFonts w:asciiTheme="minorEastAsia" w:hAnsiTheme="minorEastAsia" w:hint="eastAsia"/>
        </w:rPr>
        <w:t>本月市场仅一个行业实现上涨——仓储物流板块上涨6.49%；其他板块全部下跌，跌幅居前的行业</w:t>
      </w:r>
      <w:r>
        <w:rPr>
          <w:rFonts w:asciiTheme="minorEastAsia" w:hAnsiTheme="minorEastAsia" w:hint="eastAsia"/>
        </w:rPr>
        <w:t>为</w:t>
      </w:r>
      <w:r w:rsidRPr="008E4912">
        <w:rPr>
          <w:rFonts w:asciiTheme="minorEastAsia" w:hAnsiTheme="minorEastAsia" w:hint="eastAsia"/>
        </w:rPr>
        <w:t>煤炭、日用化工、石油、互联网、商贸代理、造纸、证券、房地产</w:t>
      </w:r>
      <w:r w:rsidR="00307B27">
        <w:rPr>
          <w:rFonts w:asciiTheme="minorEastAsia" w:hAnsiTheme="minorEastAsia" w:hint="eastAsia"/>
        </w:rPr>
        <w:t>、综合类</w:t>
      </w:r>
      <w:r w:rsidRPr="008E4912">
        <w:rPr>
          <w:rFonts w:asciiTheme="minorEastAsia" w:hAnsiTheme="minorEastAsia" w:hint="eastAsia"/>
        </w:rPr>
        <w:t>，分别下跌27.34%、26.44%、25.87%、25.4%、24.9%</w:t>
      </w:r>
      <w:r>
        <w:rPr>
          <w:rFonts w:asciiTheme="minorEastAsia" w:hAnsiTheme="minorEastAsia" w:hint="eastAsia"/>
        </w:rPr>
        <w:t>、22.69</w:t>
      </w:r>
      <w:r w:rsidR="00307B27" w:rsidRPr="008E4912">
        <w:rPr>
          <w:rFonts w:asciiTheme="minorEastAsia" w:hAnsiTheme="minorEastAsia" w:hint="eastAsia"/>
        </w:rPr>
        <w:t>%</w:t>
      </w:r>
      <w:r>
        <w:rPr>
          <w:rFonts w:asciiTheme="minorEastAsia" w:hAnsiTheme="minorEastAsia" w:hint="eastAsia"/>
        </w:rPr>
        <w:t>、21.49</w:t>
      </w:r>
      <w:r w:rsidR="00307B27" w:rsidRPr="008E4912">
        <w:rPr>
          <w:rFonts w:asciiTheme="minorEastAsia" w:hAnsiTheme="minorEastAsia" w:hint="eastAsia"/>
        </w:rPr>
        <w:t>%</w:t>
      </w:r>
      <w:r>
        <w:rPr>
          <w:rFonts w:asciiTheme="minorEastAsia" w:hAnsiTheme="minorEastAsia" w:hint="eastAsia"/>
        </w:rPr>
        <w:t>、21.12</w:t>
      </w:r>
      <w:r w:rsidR="00307B27" w:rsidRPr="008E4912">
        <w:rPr>
          <w:rFonts w:asciiTheme="minorEastAsia" w:hAnsiTheme="minorEastAsia" w:hint="eastAsia"/>
        </w:rPr>
        <w:t>%</w:t>
      </w:r>
      <w:r w:rsidR="00307B27">
        <w:rPr>
          <w:rFonts w:asciiTheme="minorEastAsia" w:hAnsiTheme="minorEastAsia" w:hint="eastAsia"/>
        </w:rPr>
        <w:t>、21.12%</w:t>
      </w:r>
      <w:r w:rsidRPr="008E4912">
        <w:rPr>
          <w:rFonts w:asciiTheme="minorEastAsia" w:hAnsiTheme="minorEastAsia" w:hint="eastAsia"/>
        </w:rPr>
        <w:t>。</w:t>
      </w:r>
    </w:p>
    <w:p w:rsidR="00145676" w:rsidRDefault="00970916" w:rsidP="00BB3452">
      <w:pPr>
        <w:spacing w:line="360" w:lineRule="auto"/>
        <w:ind w:firstLineChars="200" w:firstLine="420"/>
        <w:rPr>
          <w:rFonts w:asciiTheme="minorEastAsia" w:hAnsiTheme="minorEastAsia" w:hint="eastAsia"/>
        </w:rPr>
      </w:pPr>
      <w:r w:rsidRPr="00BB3452">
        <w:rPr>
          <w:rFonts w:asciiTheme="minorEastAsia" w:hAnsiTheme="minorEastAsia" w:hint="eastAsia"/>
        </w:rPr>
        <w:t>按照证监会行业分类，SBL52中国民企指数成分股中制造业</w:t>
      </w:r>
      <w:r w:rsidR="00022137" w:rsidRPr="00BB3452">
        <w:rPr>
          <w:rFonts w:asciiTheme="minorEastAsia" w:hAnsiTheme="minorEastAsia" w:hint="eastAsia"/>
        </w:rPr>
        <w:t>40</w:t>
      </w:r>
      <w:r w:rsidRPr="00BB3452">
        <w:rPr>
          <w:rFonts w:asciiTheme="minorEastAsia" w:hAnsiTheme="minorEastAsia" w:hint="eastAsia"/>
        </w:rPr>
        <w:t>支，房地产与建筑业3支，金融业3支，批发零售业1支，信息技术业</w:t>
      </w:r>
      <w:r w:rsidR="00022137" w:rsidRPr="00BB3452">
        <w:rPr>
          <w:rFonts w:asciiTheme="minorEastAsia" w:hAnsiTheme="minorEastAsia" w:hint="eastAsia"/>
        </w:rPr>
        <w:t>2</w:t>
      </w:r>
      <w:r w:rsidRPr="00BB3452">
        <w:rPr>
          <w:rFonts w:asciiTheme="minorEastAsia" w:hAnsiTheme="minorEastAsia" w:hint="eastAsia"/>
        </w:rPr>
        <w:t>支，公用事业1支，综合类2支；其市值占比分别为4</w:t>
      </w:r>
      <w:r w:rsidR="00022137" w:rsidRPr="00BB3452">
        <w:rPr>
          <w:rFonts w:asciiTheme="minorEastAsia" w:hAnsiTheme="minorEastAsia" w:hint="eastAsia"/>
        </w:rPr>
        <w:t>8.79</w:t>
      </w:r>
      <w:r w:rsidRPr="00BB3452">
        <w:rPr>
          <w:rFonts w:asciiTheme="minorEastAsia" w:hAnsiTheme="minorEastAsia" w:hint="eastAsia"/>
        </w:rPr>
        <w:t>%、</w:t>
      </w:r>
      <w:r w:rsidR="00022137" w:rsidRPr="00BB3452">
        <w:rPr>
          <w:rFonts w:asciiTheme="minorEastAsia" w:hAnsiTheme="minorEastAsia" w:hint="eastAsia"/>
        </w:rPr>
        <w:t>8.04</w:t>
      </w:r>
      <w:r w:rsidRPr="00BB3452">
        <w:rPr>
          <w:rFonts w:asciiTheme="minorEastAsia" w:hAnsiTheme="minorEastAsia" w:hint="eastAsia"/>
        </w:rPr>
        <w:t>%、</w:t>
      </w:r>
      <w:r w:rsidR="00022137" w:rsidRPr="00BB3452">
        <w:rPr>
          <w:rFonts w:asciiTheme="minorEastAsia" w:hAnsiTheme="minorEastAsia" w:hint="eastAsia"/>
        </w:rPr>
        <w:t>31.35</w:t>
      </w:r>
      <w:r w:rsidRPr="00BB3452">
        <w:rPr>
          <w:rFonts w:asciiTheme="minorEastAsia" w:hAnsiTheme="minorEastAsia" w:hint="eastAsia"/>
        </w:rPr>
        <w:t>%、</w:t>
      </w:r>
      <w:r w:rsidR="00022137" w:rsidRPr="00BB3452">
        <w:rPr>
          <w:rFonts w:asciiTheme="minorEastAsia" w:hAnsiTheme="minorEastAsia" w:hint="eastAsia"/>
        </w:rPr>
        <w:t>3.92</w:t>
      </w:r>
      <w:r w:rsidRPr="00BB3452">
        <w:rPr>
          <w:rFonts w:asciiTheme="minorEastAsia" w:hAnsiTheme="minorEastAsia" w:hint="eastAsia"/>
        </w:rPr>
        <w:t>%、3.</w:t>
      </w:r>
      <w:r w:rsidR="00022137" w:rsidRPr="00BB3452">
        <w:rPr>
          <w:rFonts w:asciiTheme="minorEastAsia" w:hAnsiTheme="minorEastAsia" w:hint="eastAsia"/>
        </w:rPr>
        <w:t>63</w:t>
      </w:r>
      <w:r w:rsidRPr="00BB3452">
        <w:rPr>
          <w:rFonts w:asciiTheme="minorEastAsia" w:hAnsiTheme="minorEastAsia" w:hint="eastAsia"/>
        </w:rPr>
        <w:t>%、</w:t>
      </w:r>
      <w:r w:rsidR="00022137" w:rsidRPr="00BB3452">
        <w:rPr>
          <w:rFonts w:asciiTheme="minorEastAsia" w:hAnsiTheme="minorEastAsia" w:hint="eastAsia"/>
        </w:rPr>
        <w:t>2.03</w:t>
      </w:r>
      <w:r w:rsidRPr="00BB3452">
        <w:rPr>
          <w:rFonts w:asciiTheme="minorEastAsia" w:hAnsiTheme="minorEastAsia" w:hint="eastAsia"/>
        </w:rPr>
        <w:t>%、</w:t>
      </w:r>
      <w:r w:rsidR="00022137" w:rsidRPr="00BB3452">
        <w:rPr>
          <w:rFonts w:asciiTheme="minorEastAsia" w:hAnsiTheme="minorEastAsia" w:hint="eastAsia"/>
        </w:rPr>
        <w:t>2.29</w:t>
      </w:r>
      <w:r w:rsidRPr="00BB3452">
        <w:rPr>
          <w:rFonts w:asciiTheme="minorEastAsia" w:hAnsiTheme="minorEastAsia" w:hint="eastAsia"/>
        </w:rPr>
        <w:t>%。</w:t>
      </w:r>
    </w:p>
    <w:p w:rsidR="00022137" w:rsidRPr="00BB3452" w:rsidRDefault="00022137" w:rsidP="00BB345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B3452">
        <w:rPr>
          <w:rFonts w:asciiTheme="minorEastAsia" w:hAnsiTheme="minorEastAsia" w:hint="eastAsia"/>
        </w:rPr>
        <w:t>金融板块市值占比较上个月大幅上升，因政府救市对金融股进行了维稳，而其他板块跌幅较大</w:t>
      </w:r>
      <w:r w:rsidR="00145676">
        <w:rPr>
          <w:rFonts w:asciiTheme="minorEastAsia" w:hAnsiTheme="minorEastAsia" w:hint="eastAsia"/>
        </w:rPr>
        <w:t>，总体市值占比明显下降</w:t>
      </w:r>
      <w:r w:rsidRPr="00BB3452">
        <w:rPr>
          <w:rFonts w:asciiTheme="minorEastAsia" w:hAnsiTheme="minorEastAsia" w:hint="eastAsia"/>
        </w:rPr>
        <w:t>。</w:t>
      </w:r>
    </w:p>
    <w:p w:rsidR="00F00AFE" w:rsidRPr="00F00AFE" w:rsidRDefault="00B045CB" w:rsidP="00F00AFE">
      <w:pPr>
        <w:jc w:val="center"/>
      </w:pPr>
      <w:r>
        <w:rPr>
          <w:rFonts w:hint="eastAsia"/>
          <w:b/>
        </w:rPr>
        <w:t>图表</w:t>
      </w:r>
      <w:r>
        <w:rPr>
          <w:rFonts w:hint="eastAsia"/>
          <w:b/>
        </w:rPr>
        <w:t>3</w:t>
      </w:r>
      <w:r>
        <w:rPr>
          <w:rFonts w:hint="eastAsia"/>
          <w:b/>
        </w:rPr>
        <w:t>：</w:t>
      </w:r>
      <w:r w:rsidR="00970916" w:rsidRPr="00970916">
        <w:rPr>
          <w:rFonts w:hint="eastAsia"/>
          <w:b/>
        </w:rPr>
        <w:t>SBL52</w:t>
      </w:r>
      <w:r w:rsidR="00970916" w:rsidRPr="00970916">
        <w:rPr>
          <w:rFonts w:hint="eastAsia"/>
          <w:b/>
        </w:rPr>
        <w:t>中国民企指数成分股行业分布</w:t>
      </w:r>
    </w:p>
    <w:tbl>
      <w:tblPr>
        <w:tblStyle w:val="a6"/>
        <w:tblW w:w="0" w:type="auto"/>
        <w:tblLook w:val="04A0"/>
      </w:tblPr>
      <w:tblGrid>
        <w:gridCol w:w="2042"/>
        <w:gridCol w:w="1971"/>
        <w:gridCol w:w="2321"/>
        <w:gridCol w:w="2188"/>
      </w:tblGrid>
      <w:tr w:rsidR="005B684E" w:rsidTr="005B684E">
        <w:tc>
          <w:tcPr>
            <w:tcW w:w="2042" w:type="dxa"/>
            <w:vAlign w:val="center"/>
          </w:tcPr>
          <w:p w:rsidR="005B684E" w:rsidRDefault="005B684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行业</w:t>
            </w:r>
          </w:p>
        </w:tc>
        <w:tc>
          <w:tcPr>
            <w:tcW w:w="1971" w:type="dxa"/>
          </w:tcPr>
          <w:p w:rsidR="005B684E" w:rsidRDefault="005B684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个股数量</w:t>
            </w:r>
          </w:p>
        </w:tc>
        <w:tc>
          <w:tcPr>
            <w:tcW w:w="2321" w:type="dxa"/>
            <w:vAlign w:val="center"/>
          </w:tcPr>
          <w:p w:rsidR="005B684E" w:rsidRDefault="005B684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市值</w:t>
            </w: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亿元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2188" w:type="dxa"/>
            <w:vAlign w:val="center"/>
          </w:tcPr>
          <w:p w:rsidR="005B684E" w:rsidRDefault="005B684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占比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制造业</w:t>
            </w:r>
          </w:p>
        </w:tc>
        <w:tc>
          <w:tcPr>
            <w:tcW w:w="1971" w:type="dxa"/>
          </w:tcPr>
          <w:p w:rsidR="00022137" w:rsidRDefault="00022137" w:rsidP="008E7EC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12662.2125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48.79%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房地产与建筑业</w:t>
            </w:r>
          </w:p>
        </w:tc>
        <w:tc>
          <w:tcPr>
            <w:tcW w:w="1971" w:type="dxa"/>
          </w:tcPr>
          <w:p w:rsidR="00022137" w:rsidRDefault="0002213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2085.4786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8.04%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金融业</w:t>
            </w:r>
          </w:p>
        </w:tc>
        <w:tc>
          <w:tcPr>
            <w:tcW w:w="1971" w:type="dxa"/>
          </w:tcPr>
          <w:p w:rsidR="00022137" w:rsidRDefault="0002213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8135.675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31.35%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批发零售业</w:t>
            </w:r>
          </w:p>
        </w:tc>
        <w:tc>
          <w:tcPr>
            <w:tcW w:w="1971" w:type="dxa"/>
          </w:tcPr>
          <w:p w:rsidR="00022137" w:rsidRDefault="0002213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1018.1157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3.92%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信息技术业</w:t>
            </w:r>
          </w:p>
        </w:tc>
        <w:tc>
          <w:tcPr>
            <w:tcW w:w="1971" w:type="dxa"/>
          </w:tcPr>
          <w:p w:rsidR="00022137" w:rsidRDefault="00022137" w:rsidP="00EB2EFC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941.4146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3.63%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公用事业</w:t>
            </w:r>
          </w:p>
        </w:tc>
        <w:tc>
          <w:tcPr>
            <w:tcW w:w="1971" w:type="dxa"/>
          </w:tcPr>
          <w:p w:rsidR="00022137" w:rsidRDefault="0002213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527.9078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2.03%</w:t>
            </w:r>
          </w:p>
        </w:tc>
      </w:tr>
      <w:tr w:rsidR="00022137" w:rsidTr="005B684E">
        <w:tc>
          <w:tcPr>
            <w:tcW w:w="2042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综合类</w:t>
            </w:r>
          </w:p>
        </w:tc>
        <w:tc>
          <w:tcPr>
            <w:tcW w:w="1971" w:type="dxa"/>
          </w:tcPr>
          <w:p w:rsidR="00022137" w:rsidRDefault="00022137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321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593.6111</w:t>
            </w:r>
          </w:p>
        </w:tc>
        <w:tc>
          <w:tcPr>
            <w:tcW w:w="2188" w:type="dxa"/>
            <w:vAlign w:val="center"/>
          </w:tcPr>
          <w:p w:rsidR="00022137" w:rsidRDefault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2.29%</w:t>
            </w:r>
          </w:p>
        </w:tc>
      </w:tr>
      <w:tr w:rsidR="005B684E" w:rsidTr="005B684E">
        <w:tc>
          <w:tcPr>
            <w:tcW w:w="2042" w:type="dxa"/>
            <w:vAlign w:val="center"/>
          </w:tcPr>
          <w:p w:rsidR="005B684E" w:rsidRDefault="005B684E" w:rsidP="005B684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总计</w:t>
            </w:r>
          </w:p>
        </w:tc>
        <w:tc>
          <w:tcPr>
            <w:tcW w:w="1971" w:type="dxa"/>
          </w:tcPr>
          <w:p w:rsidR="005B684E" w:rsidRDefault="005B684E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321" w:type="dxa"/>
            <w:vAlign w:val="center"/>
          </w:tcPr>
          <w:p w:rsidR="005B684E" w:rsidRDefault="00022137" w:rsidP="0002213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25950.4575</w:t>
            </w:r>
          </w:p>
        </w:tc>
        <w:tc>
          <w:tcPr>
            <w:tcW w:w="2188" w:type="dxa"/>
            <w:vAlign w:val="center"/>
          </w:tcPr>
          <w:p w:rsidR="005B684E" w:rsidRDefault="005B684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022137">
              <w:rPr>
                <w:rFonts w:hint="eastAsia"/>
                <w:color w:val="000000"/>
                <w:sz w:val="22"/>
              </w:rPr>
              <w:t>100%</w:t>
            </w:r>
          </w:p>
        </w:tc>
      </w:tr>
    </w:tbl>
    <w:p w:rsidR="000E0802" w:rsidRDefault="000E0802" w:rsidP="00022137">
      <w:pPr>
        <w:spacing w:beforeLines="50"/>
        <w:ind w:firstLineChars="200" w:firstLine="422"/>
        <w:jc w:val="center"/>
        <w:rPr>
          <w:rFonts w:hint="eastAsia"/>
          <w:b/>
        </w:rPr>
      </w:pPr>
    </w:p>
    <w:p w:rsidR="00A878EB" w:rsidRPr="002F751A" w:rsidRDefault="00B045CB" w:rsidP="00022137">
      <w:pPr>
        <w:spacing w:beforeLines="50"/>
        <w:ind w:firstLineChars="200" w:firstLine="422"/>
        <w:jc w:val="center"/>
        <w:rPr>
          <w:b/>
        </w:rPr>
      </w:pPr>
      <w:r>
        <w:rPr>
          <w:rFonts w:hint="eastAsia"/>
          <w:b/>
        </w:rPr>
        <w:t>图表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  <w:r w:rsidR="001C019E" w:rsidRPr="00970916">
        <w:rPr>
          <w:rFonts w:hint="eastAsia"/>
          <w:b/>
        </w:rPr>
        <w:t>SBL52</w:t>
      </w:r>
      <w:r w:rsidR="001C019E" w:rsidRPr="00970916">
        <w:rPr>
          <w:rFonts w:hint="eastAsia"/>
          <w:b/>
        </w:rPr>
        <w:t>中国民企指数成分股</w:t>
      </w:r>
      <w:r w:rsidR="001B7F54" w:rsidRPr="001B7F54">
        <w:rPr>
          <w:rFonts w:hint="eastAsia"/>
          <w:b/>
        </w:rPr>
        <w:t>行业权重</w:t>
      </w:r>
      <w:r w:rsidR="00F00AFE">
        <w:rPr>
          <w:rFonts w:hint="eastAsia"/>
          <w:b/>
        </w:rPr>
        <w:t>示意图</w:t>
      </w:r>
    </w:p>
    <w:p w:rsidR="00F00AFE" w:rsidRDefault="00954FEE" w:rsidP="00954FEE">
      <w:pPr>
        <w:jc w:val="center"/>
      </w:pPr>
      <w:r w:rsidRPr="00954FEE">
        <w:drawing>
          <wp:inline distT="0" distB="0" distL="0" distR="0">
            <wp:extent cx="4695825" cy="3400424"/>
            <wp:effectExtent l="19050" t="0" r="9525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14EA" w:rsidRDefault="002314EA" w:rsidP="005F77A9"/>
    <w:p w:rsidR="00A12117" w:rsidRPr="00BB3452" w:rsidRDefault="001C019E" w:rsidP="00BB3452">
      <w:pPr>
        <w:spacing w:line="360" w:lineRule="auto"/>
        <w:ind w:firstLineChars="200" w:firstLine="420"/>
        <w:rPr>
          <w:rFonts w:asciiTheme="minorEastAsia" w:hAnsiTheme="minorEastAsia"/>
        </w:rPr>
      </w:pPr>
      <w:r w:rsidRPr="00BB3452">
        <w:rPr>
          <w:rFonts w:asciiTheme="minorEastAsia" w:hAnsiTheme="minorEastAsia" w:hint="eastAsia"/>
        </w:rPr>
        <w:t>SBL52中国民企指数成分股中，市值前5名为</w:t>
      </w:r>
      <w:r w:rsidR="00C9050F" w:rsidRPr="00BB3452">
        <w:rPr>
          <w:rFonts w:asciiTheme="minorEastAsia" w:hAnsiTheme="minorEastAsia" w:hint="eastAsia"/>
        </w:rPr>
        <w:t>：</w:t>
      </w:r>
      <w:r w:rsidRPr="00BB3452">
        <w:rPr>
          <w:rFonts w:asciiTheme="minorEastAsia" w:hAnsiTheme="minorEastAsia" w:hint="eastAsia"/>
        </w:rPr>
        <w:t>中国平安、</w:t>
      </w:r>
      <w:r w:rsidR="00CD6A38" w:rsidRPr="00BB3452">
        <w:rPr>
          <w:rFonts w:asciiTheme="minorEastAsia" w:hAnsiTheme="minorEastAsia" w:hint="eastAsia"/>
        </w:rPr>
        <w:t>平安银行、</w:t>
      </w:r>
      <w:r w:rsidRPr="00BB3452">
        <w:rPr>
          <w:rFonts w:asciiTheme="minorEastAsia" w:hAnsiTheme="minorEastAsia" w:hint="eastAsia"/>
        </w:rPr>
        <w:t>民生银行、</w:t>
      </w:r>
      <w:r w:rsidR="00CD6A38" w:rsidRPr="00BB3452">
        <w:rPr>
          <w:rFonts w:asciiTheme="minorEastAsia" w:hAnsiTheme="minorEastAsia" w:hint="eastAsia"/>
        </w:rPr>
        <w:t>美的集团</w:t>
      </w:r>
      <w:r w:rsidRPr="00BB3452">
        <w:rPr>
          <w:rFonts w:asciiTheme="minorEastAsia" w:hAnsiTheme="minorEastAsia" w:hint="eastAsia"/>
        </w:rPr>
        <w:t>、比亚迪。</w:t>
      </w:r>
    </w:p>
    <w:p w:rsidR="00562BF0" w:rsidRDefault="00792AD9" w:rsidP="002F751A">
      <w:pPr>
        <w:pStyle w:val="1"/>
        <w:spacing w:before="200" w:after="200" w:line="360" w:lineRule="auto"/>
      </w:pPr>
      <w:bookmarkStart w:id="2" w:name="_Toc424829045"/>
      <w:r>
        <w:rPr>
          <w:rFonts w:hint="eastAsia"/>
        </w:rPr>
        <w:t>三</w:t>
      </w:r>
      <w:r w:rsidR="00715690">
        <w:rPr>
          <w:rFonts w:hint="eastAsia"/>
        </w:rPr>
        <w:t>.</w:t>
      </w:r>
      <w:r w:rsidR="005F77A9">
        <w:rPr>
          <w:rFonts w:hint="eastAsia"/>
        </w:rPr>
        <w:t>相关性分析</w:t>
      </w:r>
      <w:bookmarkEnd w:id="2"/>
    </w:p>
    <w:p w:rsidR="00BF44E5" w:rsidRDefault="00DB1144" w:rsidP="00BB3452">
      <w:pPr>
        <w:spacing w:line="360" w:lineRule="auto"/>
        <w:ind w:firstLineChars="200" w:firstLine="420"/>
      </w:pPr>
      <w:r w:rsidRPr="00BF44E5">
        <w:rPr>
          <w:rFonts w:hint="eastAsia"/>
        </w:rPr>
        <w:t>2015</w:t>
      </w:r>
      <w:r w:rsidRPr="00BF44E5">
        <w:rPr>
          <w:rFonts w:hint="eastAsia"/>
        </w:rPr>
        <w:t>年</w:t>
      </w:r>
      <w:r w:rsidR="00BB3452">
        <w:rPr>
          <w:rFonts w:hint="eastAsia"/>
        </w:rPr>
        <w:t>7</w:t>
      </w:r>
      <w:r w:rsidRPr="00BF44E5">
        <w:rPr>
          <w:rFonts w:hint="eastAsia"/>
        </w:rPr>
        <w:t>月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中国民企成指、上证指数、沪深</w:t>
      </w:r>
      <w:r w:rsidRPr="00DB1144">
        <w:rPr>
          <w:rFonts w:hint="eastAsia"/>
        </w:rPr>
        <w:t>300</w:t>
      </w:r>
      <w:r w:rsidR="00BF44E5" w:rsidRPr="00BF44E5">
        <w:rPr>
          <w:rFonts w:hint="eastAsia"/>
        </w:rPr>
        <w:t>的日涨跌数据</w:t>
      </w:r>
      <w:r>
        <w:rPr>
          <w:rFonts w:hint="eastAsia"/>
        </w:rPr>
        <w:t>进行相关性分析，分析</w:t>
      </w:r>
      <w:r w:rsidR="00BF44E5" w:rsidRPr="00BF44E5">
        <w:rPr>
          <w:rFonts w:hint="eastAsia"/>
        </w:rPr>
        <w:t>结果</w:t>
      </w:r>
      <w:r>
        <w:rPr>
          <w:rFonts w:hint="eastAsia"/>
        </w:rPr>
        <w:t>如</w:t>
      </w:r>
      <w:r w:rsidR="00BF44E5" w:rsidRPr="00BF44E5">
        <w:rPr>
          <w:rFonts w:hint="eastAsia"/>
        </w:rPr>
        <w:t>下表，可以看出</w:t>
      </w:r>
      <w:r>
        <w:rPr>
          <w:rFonts w:hint="eastAsia"/>
        </w:rPr>
        <w:t>：</w:t>
      </w:r>
      <w:r w:rsidR="00BF44E5" w:rsidRPr="00BF44E5">
        <w:rPr>
          <w:rFonts w:hint="eastAsia"/>
        </w:rPr>
        <w:t>SBL52</w:t>
      </w:r>
      <w:r>
        <w:rPr>
          <w:rFonts w:hint="eastAsia"/>
        </w:rPr>
        <w:t>中国</w:t>
      </w:r>
      <w:r w:rsidR="00BF44E5" w:rsidRPr="00BF44E5">
        <w:rPr>
          <w:rFonts w:hint="eastAsia"/>
        </w:rPr>
        <w:t>民企成指与各指数的相关性，其中，与</w:t>
      </w:r>
      <w:r w:rsidR="00BF44E5">
        <w:rPr>
          <w:rFonts w:hint="eastAsia"/>
        </w:rPr>
        <w:t>沪深</w:t>
      </w:r>
      <w:r w:rsidR="00BF44E5">
        <w:rPr>
          <w:rFonts w:hint="eastAsia"/>
        </w:rPr>
        <w:t>300</w:t>
      </w:r>
      <w:r w:rsidR="00BF44E5" w:rsidRPr="00BF44E5">
        <w:rPr>
          <w:rFonts w:hint="eastAsia"/>
        </w:rPr>
        <w:t>的相关系数</w:t>
      </w:r>
      <w:r w:rsidR="00BD1681">
        <w:rPr>
          <w:rFonts w:hint="eastAsia"/>
        </w:rPr>
        <w:t>较</w:t>
      </w:r>
      <w:r w:rsidR="00BF44E5" w:rsidRPr="00BF44E5">
        <w:rPr>
          <w:rFonts w:hint="eastAsia"/>
        </w:rPr>
        <w:t>高，</w:t>
      </w:r>
      <w:r w:rsidR="00BD1681">
        <w:rPr>
          <w:rFonts w:hint="eastAsia"/>
        </w:rPr>
        <w:t>为</w:t>
      </w:r>
      <w:r w:rsidR="00BD1681">
        <w:rPr>
          <w:rFonts w:hint="eastAsia"/>
        </w:rPr>
        <w:t>0.769</w:t>
      </w:r>
      <w:r w:rsidR="00BF44E5" w:rsidRPr="00BF44E5">
        <w:rPr>
          <w:rFonts w:hint="eastAsia"/>
        </w:rPr>
        <w:t>，与</w:t>
      </w:r>
      <w:r w:rsidR="00BD1681">
        <w:rPr>
          <w:rFonts w:hint="eastAsia"/>
        </w:rPr>
        <w:t>上证综指的相关系数</w:t>
      </w:r>
      <w:r w:rsidR="00BF44E5" w:rsidRPr="00BF44E5">
        <w:rPr>
          <w:rFonts w:hint="eastAsia"/>
        </w:rPr>
        <w:t>为</w:t>
      </w:r>
      <w:r w:rsidR="00BF44E5" w:rsidRPr="00BF44E5">
        <w:rPr>
          <w:rFonts w:hint="eastAsia"/>
        </w:rPr>
        <w:t>0.</w:t>
      </w:r>
      <w:r w:rsidR="00BD1681">
        <w:rPr>
          <w:rFonts w:hint="eastAsia"/>
        </w:rPr>
        <w:t>382</w:t>
      </w:r>
      <w:r w:rsidR="00BF44E5" w:rsidRPr="00BF44E5">
        <w:rPr>
          <w:rFonts w:hint="eastAsia"/>
        </w:rPr>
        <w:t>。</w:t>
      </w:r>
    </w:p>
    <w:p w:rsidR="00562BF0" w:rsidRPr="002F751A" w:rsidRDefault="00BF44E5" w:rsidP="00022137">
      <w:pPr>
        <w:spacing w:beforeLines="50"/>
        <w:ind w:firstLineChars="200" w:firstLine="422"/>
        <w:jc w:val="center"/>
        <w:rPr>
          <w:b/>
        </w:rPr>
      </w:pPr>
      <w:r w:rsidRPr="002F751A">
        <w:rPr>
          <w:rFonts w:hint="eastAsia"/>
          <w:b/>
        </w:rPr>
        <w:t>图表</w:t>
      </w:r>
      <w:r w:rsidRPr="002F751A">
        <w:rPr>
          <w:rFonts w:hint="eastAsia"/>
          <w:b/>
        </w:rPr>
        <w:t>5</w:t>
      </w:r>
      <w:r w:rsidRPr="002F751A">
        <w:rPr>
          <w:rFonts w:hint="eastAsia"/>
          <w:b/>
        </w:rPr>
        <w:t>：</w:t>
      </w:r>
      <w:r w:rsidR="00562BF0" w:rsidRPr="002F751A">
        <w:rPr>
          <w:b/>
        </w:rPr>
        <w:t>201</w:t>
      </w:r>
      <w:r w:rsidR="00562BF0" w:rsidRPr="002F751A">
        <w:rPr>
          <w:rFonts w:hint="eastAsia"/>
          <w:b/>
        </w:rPr>
        <w:t>5</w:t>
      </w:r>
      <w:r w:rsidR="00562BF0" w:rsidRPr="002F751A">
        <w:rPr>
          <w:b/>
        </w:rPr>
        <w:t>年月</w:t>
      </w:r>
      <w:r w:rsidR="00873043">
        <w:rPr>
          <w:rFonts w:hint="eastAsia"/>
          <w:b/>
        </w:rPr>
        <w:t>7</w:t>
      </w:r>
      <w:r w:rsidR="00562BF0" w:rsidRPr="002F751A">
        <w:rPr>
          <w:b/>
        </w:rPr>
        <w:t>各指数相关系数</w:t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312"/>
        <w:gridCol w:w="1238"/>
        <w:gridCol w:w="1268"/>
        <w:gridCol w:w="1312"/>
      </w:tblGrid>
      <w:tr w:rsidR="00ED504D" w:rsidTr="00ED504D">
        <w:trPr>
          <w:trHeight w:val="285"/>
          <w:jc w:val="center"/>
        </w:trPr>
        <w:tc>
          <w:tcPr>
            <w:tcW w:w="1312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bookmarkStart w:id="3" w:name="_Toc424829046"/>
          </w:p>
        </w:tc>
        <w:tc>
          <w:tcPr>
            <w:tcW w:w="1238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民企成指</w:t>
            </w:r>
          </w:p>
        </w:tc>
        <w:tc>
          <w:tcPr>
            <w:tcW w:w="1268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上证综指</w:t>
            </w:r>
          </w:p>
        </w:tc>
        <w:tc>
          <w:tcPr>
            <w:tcW w:w="1312" w:type="dxa"/>
            <w:tcBorders>
              <w:top w:val="single" w:sz="8" w:space="0" w:color="000000"/>
              <w:bottom w:val="single" w:sz="4" w:space="0" w:color="000000"/>
            </w:tcBorders>
            <w:shd w:val="solid" w:color="C0C0C0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沪深300</w:t>
            </w:r>
          </w:p>
        </w:tc>
      </w:tr>
      <w:tr w:rsidR="00ED504D" w:rsidTr="00ED504D">
        <w:trPr>
          <w:trHeight w:val="405"/>
          <w:jc w:val="center"/>
        </w:trPr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b/>
                <w:bCs/>
                <w:color w:val="000000"/>
                <w:sz w:val="18"/>
                <w:szCs w:val="18"/>
              </w:rPr>
              <w:t>民企成指</w:t>
            </w:r>
          </w:p>
        </w:tc>
        <w:tc>
          <w:tcPr>
            <w:tcW w:w="1238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 w:rsidRPr="009D17B8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1.0000</w:t>
            </w:r>
          </w:p>
        </w:tc>
        <w:tc>
          <w:tcPr>
            <w:tcW w:w="1268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</w:tcBorders>
            <w:shd w:val="solid" w:color="99CCFF" w:fill="auto"/>
            <w:vAlign w:val="bottom"/>
          </w:tcPr>
          <w:p w:rsidR="00ED504D" w:rsidRPr="009D17B8" w:rsidRDefault="00ED504D" w:rsidP="00ED504D">
            <w:pPr>
              <w:jc w:val="center"/>
              <w:rPr>
                <w:rFonts w:asciiTheme="minorEastAsia" w:hAnsiTheme="minorEastAsia" w:cs="宋体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0.769</w:t>
            </w:r>
          </w:p>
        </w:tc>
      </w:tr>
    </w:tbl>
    <w:p w:rsidR="00562BF0" w:rsidRDefault="00290417" w:rsidP="001C019E">
      <w:pPr>
        <w:pStyle w:val="1"/>
        <w:spacing w:before="200" w:after="200" w:line="360" w:lineRule="auto"/>
      </w:pPr>
      <w:r>
        <w:rPr>
          <w:rFonts w:hint="eastAsia"/>
        </w:rPr>
        <w:t>四</w:t>
      </w:r>
      <w:r w:rsidR="00715690">
        <w:rPr>
          <w:rFonts w:hint="eastAsia"/>
        </w:rPr>
        <w:t>.</w:t>
      </w:r>
      <w:r w:rsidR="005F77A9">
        <w:rPr>
          <w:rFonts w:hint="eastAsia"/>
        </w:rPr>
        <w:t>风险收益特征分析</w:t>
      </w:r>
      <w:bookmarkEnd w:id="3"/>
    </w:p>
    <w:p w:rsidR="002F751A" w:rsidRPr="001B7F54" w:rsidRDefault="00DB1144" w:rsidP="002F751A">
      <w:pPr>
        <w:ind w:firstLineChars="200" w:firstLine="420"/>
      </w:pPr>
      <w:r>
        <w:rPr>
          <w:rFonts w:hint="eastAsia"/>
        </w:rPr>
        <w:t>风险收益特征是衡量一个指数化投资优劣性的最为重要的方面，下面我们通过各指数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="00BB3452">
        <w:rPr>
          <w:rFonts w:hint="eastAsia"/>
        </w:rPr>
        <w:t>7</w:t>
      </w:r>
      <w:r w:rsidR="00BB3452">
        <w:rPr>
          <w:rFonts w:hint="eastAsia"/>
        </w:rPr>
        <w:t>月</w:t>
      </w:r>
      <w:r>
        <w:rPr>
          <w:rFonts w:hint="eastAsia"/>
        </w:rPr>
        <w:t>数据来计算的平均回报率、波动率、β系数、夏普指数、詹森指数评价指标。计算中涉及的无风险利率取样本时段区间内一年期存款利率——</w:t>
      </w:r>
      <w:r>
        <w:rPr>
          <w:rFonts w:hint="eastAsia"/>
        </w:rPr>
        <w:t>2.25%</w:t>
      </w:r>
      <w:r>
        <w:rPr>
          <w:rFonts w:hint="eastAsia"/>
        </w:rPr>
        <w:t>（一年整存整取）折算成日利率。计算β系数的基准指数为沪深</w:t>
      </w:r>
      <w:r>
        <w:rPr>
          <w:rFonts w:hint="eastAsia"/>
        </w:rPr>
        <w:t>300</w:t>
      </w:r>
      <w:r>
        <w:rPr>
          <w:rFonts w:hint="eastAsia"/>
        </w:rPr>
        <w:t>指数。结果如下表所示：</w:t>
      </w:r>
    </w:p>
    <w:p w:rsidR="000E0802" w:rsidRDefault="000E0802" w:rsidP="00BB3452">
      <w:pPr>
        <w:ind w:firstLineChars="200" w:firstLine="422"/>
        <w:jc w:val="center"/>
        <w:rPr>
          <w:rFonts w:hint="eastAsia"/>
          <w:b/>
        </w:rPr>
      </w:pPr>
    </w:p>
    <w:p w:rsidR="000E0802" w:rsidRDefault="000E0802" w:rsidP="00BB3452">
      <w:pPr>
        <w:ind w:firstLineChars="200" w:firstLine="422"/>
        <w:jc w:val="center"/>
        <w:rPr>
          <w:rFonts w:hint="eastAsia"/>
          <w:b/>
        </w:rPr>
      </w:pPr>
    </w:p>
    <w:p w:rsidR="000E0802" w:rsidRDefault="000E0802" w:rsidP="00BB3452">
      <w:pPr>
        <w:ind w:firstLineChars="200" w:firstLine="422"/>
        <w:jc w:val="center"/>
        <w:rPr>
          <w:rFonts w:hint="eastAsia"/>
          <w:b/>
        </w:rPr>
      </w:pPr>
    </w:p>
    <w:p w:rsidR="00BB3452" w:rsidRDefault="00A122E4" w:rsidP="00BB3452">
      <w:pPr>
        <w:ind w:firstLineChars="200" w:firstLine="422"/>
        <w:jc w:val="center"/>
      </w:pPr>
      <w:r w:rsidRPr="002F751A">
        <w:rPr>
          <w:rFonts w:hint="eastAsia"/>
          <w:b/>
        </w:rPr>
        <w:t>图表</w:t>
      </w:r>
      <w:r>
        <w:rPr>
          <w:rFonts w:hint="eastAsia"/>
          <w:b/>
        </w:rPr>
        <w:t>6</w:t>
      </w:r>
      <w:r w:rsidRPr="002F751A">
        <w:rPr>
          <w:rFonts w:hint="eastAsia"/>
          <w:b/>
        </w:rPr>
        <w:t>：</w:t>
      </w:r>
      <w:r w:rsidR="00BB3452">
        <w:rPr>
          <w:rFonts w:hint="eastAsia"/>
          <w:b/>
        </w:rPr>
        <w:t>各指数风险收益特征对比</w:t>
      </w:r>
    </w:p>
    <w:p w:rsidR="00BB3452" w:rsidRDefault="00BB3452" w:rsidP="00BB3452">
      <w:pPr>
        <w:ind w:firstLine="435"/>
        <w:rPr>
          <w:szCs w:val="18"/>
        </w:rPr>
      </w:pPr>
      <w:r>
        <w:rPr>
          <w:noProof/>
          <w:szCs w:val="18"/>
        </w:rPr>
        <w:drawing>
          <wp:inline distT="0" distB="0" distL="0" distR="0">
            <wp:extent cx="4876800" cy="1295400"/>
            <wp:effectExtent l="19050" t="0" r="0" b="0"/>
            <wp:docPr id="7" name="图片 2" descr="7月各指数风险收益特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月各指数风险收益特征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452" w:rsidRPr="0065456D" w:rsidRDefault="00BB3452" w:rsidP="00BB3452">
      <w:pPr>
        <w:ind w:firstLine="435"/>
        <w:rPr>
          <w:szCs w:val="18"/>
        </w:rPr>
      </w:pPr>
    </w:p>
    <w:p w:rsidR="00BB3452" w:rsidRPr="00901253" w:rsidRDefault="00BB3452" w:rsidP="00BB3452">
      <w:pPr>
        <w:ind w:firstLine="435"/>
      </w:pPr>
      <w:r>
        <w:rPr>
          <w:rFonts w:hint="eastAsia"/>
          <w:szCs w:val="18"/>
        </w:rPr>
        <w:t>7</w:t>
      </w:r>
      <w:r>
        <w:rPr>
          <w:rFonts w:hint="eastAsia"/>
          <w:szCs w:val="18"/>
        </w:rPr>
        <w:t>月，从平均回报率来看，</w:t>
      </w:r>
      <w:r w:rsidRPr="00DB1144">
        <w:rPr>
          <w:rFonts w:hint="eastAsia"/>
        </w:rPr>
        <w:t>SBL52</w:t>
      </w:r>
      <w:r w:rsidRPr="00DB1144">
        <w:rPr>
          <w:rFonts w:hint="eastAsia"/>
        </w:rPr>
        <w:t>中国民企成指</w:t>
      </w:r>
      <w:r>
        <w:rPr>
          <w:rFonts w:hint="eastAsia"/>
        </w:rPr>
        <w:t>较中证</w:t>
      </w:r>
      <w:r>
        <w:rPr>
          <w:rFonts w:hint="eastAsia"/>
          <w:szCs w:val="18"/>
        </w:rPr>
        <w:t>民企</w:t>
      </w:r>
      <w:r>
        <w:rPr>
          <w:rFonts w:hint="eastAsia"/>
          <w:szCs w:val="18"/>
        </w:rPr>
        <w:t>200</w:t>
      </w:r>
      <w:r>
        <w:rPr>
          <w:rFonts w:hint="eastAsia"/>
          <w:szCs w:val="18"/>
        </w:rPr>
        <w:t>、深证民营、深证成指这三个指数要好。</w:t>
      </w:r>
    </w:p>
    <w:p w:rsidR="00BB3452" w:rsidRDefault="0085728C" w:rsidP="00BB3452">
      <w:pPr>
        <w:ind w:firstLine="435"/>
        <w:rPr>
          <w:szCs w:val="18"/>
        </w:rPr>
      </w:pPr>
      <w:r>
        <w:rPr>
          <w:rFonts w:hint="eastAsia"/>
        </w:rPr>
        <w:t>另外，</w:t>
      </w:r>
      <w:r w:rsidR="00BB3452" w:rsidRPr="00DB1144">
        <w:rPr>
          <w:rFonts w:hint="eastAsia"/>
        </w:rPr>
        <w:t>SBL52</w:t>
      </w:r>
      <w:r w:rsidR="00BB3452" w:rsidRPr="00DB1144">
        <w:rPr>
          <w:rFonts w:hint="eastAsia"/>
        </w:rPr>
        <w:t>中国民企成指</w:t>
      </w:r>
      <w:r w:rsidR="00BB3452">
        <w:rPr>
          <w:rFonts w:hint="eastAsia"/>
        </w:rPr>
        <w:t>波动率仍然</w:t>
      </w:r>
      <w:r w:rsidR="00ED504D">
        <w:rPr>
          <w:rFonts w:hint="eastAsia"/>
        </w:rPr>
        <w:t>略</w:t>
      </w:r>
      <w:r w:rsidR="00BB3452">
        <w:rPr>
          <w:rFonts w:hint="eastAsia"/>
        </w:rPr>
        <w:t>小于中证</w:t>
      </w:r>
      <w:r w:rsidR="00BB3452">
        <w:rPr>
          <w:rFonts w:hint="eastAsia"/>
          <w:szCs w:val="18"/>
        </w:rPr>
        <w:t>民企</w:t>
      </w:r>
      <w:r w:rsidR="00BB3452">
        <w:rPr>
          <w:rFonts w:hint="eastAsia"/>
          <w:szCs w:val="18"/>
        </w:rPr>
        <w:t>200</w:t>
      </w:r>
      <w:r w:rsidR="00BB3452">
        <w:rPr>
          <w:rFonts w:hint="eastAsia"/>
          <w:szCs w:val="18"/>
        </w:rPr>
        <w:t>、深证民营这两个同类指数，β系数也小于后两者，表现较为稳定。</w:t>
      </w:r>
    </w:p>
    <w:p w:rsidR="002F175E" w:rsidRPr="00BB3452" w:rsidRDefault="002F175E" w:rsidP="00167501">
      <w:pPr>
        <w:ind w:firstLine="435"/>
        <w:rPr>
          <w:szCs w:val="18"/>
        </w:rPr>
      </w:pPr>
    </w:p>
    <w:p w:rsidR="002F751A" w:rsidRPr="00167501" w:rsidRDefault="002F751A" w:rsidP="005F77A9"/>
    <w:sectPr w:rsidR="002F751A" w:rsidRPr="00167501" w:rsidSect="005218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81F" w:rsidRDefault="0074081F" w:rsidP="005F77A9">
      <w:r>
        <w:separator/>
      </w:r>
    </w:p>
  </w:endnote>
  <w:endnote w:type="continuationSeparator" w:id="1">
    <w:p w:rsidR="0074081F" w:rsidRDefault="0074081F" w:rsidP="005F7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81F" w:rsidRDefault="0074081F" w:rsidP="005F77A9">
      <w:r>
        <w:separator/>
      </w:r>
    </w:p>
  </w:footnote>
  <w:footnote w:type="continuationSeparator" w:id="1">
    <w:p w:rsidR="0074081F" w:rsidRDefault="0074081F" w:rsidP="005F7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7A9"/>
    <w:rsid w:val="0000328D"/>
    <w:rsid w:val="00016A2D"/>
    <w:rsid w:val="000207AF"/>
    <w:rsid w:val="00022137"/>
    <w:rsid w:val="0002631F"/>
    <w:rsid w:val="00033102"/>
    <w:rsid w:val="000818CA"/>
    <w:rsid w:val="0008380C"/>
    <w:rsid w:val="000E0802"/>
    <w:rsid w:val="00112AB5"/>
    <w:rsid w:val="00120D1B"/>
    <w:rsid w:val="00145676"/>
    <w:rsid w:val="00152968"/>
    <w:rsid w:val="00167501"/>
    <w:rsid w:val="00183654"/>
    <w:rsid w:val="0018535A"/>
    <w:rsid w:val="001A2253"/>
    <w:rsid w:val="001B7F54"/>
    <w:rsid w:val="001C019E"/>
    <w:rsid w:val="001C7F4A"/>
    <w:rsid w:val="002303AD"/>
    <w:rsid w:val="002314EA"/>
    <w:rsid w:val="00247BB4"/>
    <w:rsid w:val="00263C67"/>
    <w:rsid w:val="00271C6D"/>
    <w:rsid w:val="0028703B"/>
    <w:rsid w:val="00290417"/>
    <w:rsid w:val="002F175E"/>
    <w:rsid w:val="002F33F1"/>
    <w:rsid w:val="002F751A"/>
    <w:rsid w:val="00307B27"/>
    <w:rsid w:val="00335EF8"/>
    <w:rsid w:val="003477DE"/>
    <w:rsid w:val="003716C4"/>
    <w:rsid w:val="00390ACD"/>
    <w:rsid w:val="003F5343"/>
    <w:rsid w:val="00433495"/>
    <w:rsid w:val="004757FC"/>
    <w:rsid w:val="004E7248"/>
    <w:rsid w:val="005000AE"/>
    <w:rsid w:val="00505333"/>
    <w:rsid w:val="0052183C"/>
    <w:rsid w:val="00562BF0"/>
    <w:rsid w:val="00570A4D"/>
    <w:rsid w:val="005A397D"/>
    <w:rsid w:val="005B0EBF"/>
    <w:rsid w:val="005B684E"/>
    <w:rsid w:val="005F77A9"/>
    <w:rsid w:val="00607256"/>
    <w:rsid w:val="00686BA2"/>
    <w:rsid w:val="006A515B"/>
    <w:rsid w:val="006C0D4F"/>
    <w:rsid w:val="0071477A"/>
    <w:rsid w:val="00715690"/>
    <w:rsid w:val="00716F34"/>
    <w:rsid w:val="00740001"/>
    <w:rsid w:val="0074081F"/>
    <w:rsid w:val="00756DA5"/>
    <w:rsid w:val="00765C64"/>
    <w:rsid w:val="00770A85"/>
    <w:rsid w:val="00792AD9"/>
    <w:rsid w:val="007E569B"/>
    <w:rsid w:val="008004FE"/>
    <w:rsid w:val="0085728C"/>
    <w:rsid w:val="00873043"/>
    <w:rsid w:val="0089644E"/>
    <w:rsid w:val="008C2176"/>
    <w:rsid w:val="008D4285"/>
    <w:rsid w:val="008E4912"/>
    <w:rsid w:val="008E7EC6"/>
    <w:rsid w:val="00954FEE"/>
    <w:rsid w:val="0095502A"/>
    <w:rsid w:val="009603FA"/>
    <w:rsid w:val="00970916"/>
    <w:rsid w:val="009C2CE0"/>
    <w:rsid w:val="009C4048"/>
    <w:rsid w:val="009D17B8"/>
    <w:rsid w:val="00A04D40"/>
    <w:rsid w:val="00A12117"/>
    <w:rsid w:val="00A122E4"/>
    <w:rsid w:val="00A27905"/>
    <w:rsid w:val="00A86A2D"/>
    <w:rsid w:val="00A878EB"/>
    <w:rsid w:val="00AE6625"/>
    <w:rsid w:val="00B045CB"/>
    <w:rsid w:val="00B25AC9"/>
    <w:rsid w:val="00B31EE5"/>
    <w:rsid w:val="00B469A9"/>
    <w:rsid w:val="00BA3058"/>
    <w:rsid w:val="00BB3452"/>
    <w:rsid w:val="00BB623F"/>
    <w:rsid w:val="00BD1681"/>
    <w:rsid w:val="00BF44E5"/>
    <w:rsid w:val="00C205B4"/>
    <w:rsid w:val="00C57C1A"/>
    <w:rsid w:val="00C9050F"/>
    <w:rsid w:val="00CA67B7"/>
    <w:rsid w:val="00CA72F5"/>
    <w:rsid w:val="00CB605F"/>
    <w:rsid w:val="00CB72CB"/>
    <w:rsid w:val="00CD6A38"/>
    <w:rsid w:val="00CE4729"/>
    <w:rsid w:val="00D22B45"/>
    <w:rsid w:val="00D75FC2"/>
    <w:rsid w:val="00D869A7"/>
    <w:rsid w:val="00DB1144"/>
    <w:rsid w:val="00EA6546"/>
    <w:rsid w:val="00EA7FD6"/>
    <w:rsid w:val="00EB2EFC"/>
    <w:rsid w:val="00ED504D"/>
    <w:rsid w:val="00F00AFE"/>
    <w:rsid w:val="00F17815"/>
    <w:rsid w:val="00F367D1"/>
    <w:rsid w:val="00F36DFE"/>
    <w:rsid w:val="00F405ED"/>
    <w:rsid w:val="00F43197"/>
    <w:rsid w:val="00F4330F"/>
    <w:rsid w:val="00FB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00AFE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7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7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62B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62BF0"/>
    <w:rPr>
      <w:sz w:val="18"/>
      <w:szCs w:val="18"/>
    </w:rPr>
  </w:style>
  <w:style w:type="table" w:styleId="a6">
    <w:name w:val="Table Grid"/>
    <w:basedOn w:val="a1"/>
    <w:uiPriority w:val="59"/>
    <w:rsid w:val="001B7F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00AFE"/>
    <w:rPr>
      <w:b/>
      <w:bCs/>
      <w:kern w:val="44"/>
      <w:sz w:val="24"/>
      <w:szCs w:val="44"/>
    </w:rPr>
  </w:style>
  <w:style w:type="paragraph" w:styleId="a7">
    <w:name w:val="caption"/>
    <w:basedOn w:val="a"/>
    <w:next w:val="a"/>
    <w:uiPriority w:val="35"/>
    <w:unhideWhenUsed/>
    <w:qFormat/>
    <w:rsid w:val="00F00AFE"/>
    <w:rPr>
      <w:rFonts w:asciiTheme="majorHAnsi" w:eastAsia="黑体" w:hAnsiTheme="majorHAnsi" w:cstheme="majorBidi"/>
      <w:sz w:val="20"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C217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8C2176"/>
  </w:style>
  <w:style w:type="character" w:styleId="a8">
    <w:name w:val="Hyperlink"/>
    <w:basedOn w:val="a0"/>
    <w:uiPriority w:val="99"/>
    <w:unhideWhenUsed/>
    <w:rsid w:val="008C21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&#36890;&#35759;\&#26032;&#24314;%20Microsoft%20Office%20Excel%20&#24037;&#20316;&#3492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&#36890;&#35759;\&#26032;&#24314;%20Microsoft%20Office%20Excel%20&#24037;&#20316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20854;&#20182;\&#25237;&#36164;&#36890;&#35759;\&#36890;&#35759;\52&#34892;&#19994;&#24066;&#20540;&#21344;&#2760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>
        <c:manualLayout>
          <c:layoutTarget val="inner"/>
          <c:xMode val="edge"/>
          <c:yMode val="edge"/>
          <c:x val="0.12098925025676142"/>
          <c:y val="8.9700843097530722E-2"/>
          <c:w val="0.85962451215337343"/>
          <c:h val="0.86686856450635952"/>
        </c:manualLayout>
      </c:layout>
      <c:lineChart>
        <c:grouping val="standard"/>
        <c:ser>
          <c:idx val="0"/>
          <c:order val="0"/>
          <c:tx>
            <c:strRef>
              <c:f>主要指数!$B$25</c:f>
              <c:strCache>
                <c:ptCount val="1"/>
                <c:pt idx="0">
                  <c:v>上证</c:v>
                </c:pt>
              </c:strCache>
            </c:strRef>
          </c:tx>
          <c:spPr>
            <a:ln w="0"/>
          </c:spPr>
          <c:marker>
            <c:symbol val="none"/>
          </c:marker>
          <c:cat>
            <c:numRef>
              <c:f>主要指数!$A$26:$A$48</c:f>
              <c:numCache>
                <c:formatCode>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主要指数!$B$26:$B$48</c:f>
              <c:numCache>
                <c:formatCode>0.00%</c:formatCode>
                <c:ptCount val="23"/>
                <c:pt idx="0">
                  <c:v>-5.2299999999999999E-2</c:v>
                </c:pt>
                <c:pt idx="1">
                  <c:v>-3.4799999999999998E-2</c:v>
                </c:pt>
                <c:pt idx="2">
                  <c:v>-5.7700000000000008E-2</c:v>
                </c:pt>
                <c:pt idx="3">
                  <c:v>2.41E-2</c:v>
                </c:pt>
                <c:pt idx="4">
                  <c:v>-1.2900000000000002E-2</c:v>
                </c:pt>
                <c:pt idx="5">
                  <c:v>-5.9000000000000004E-2</c:v>
                </c:pt>
                <c:pt idx="6">
                  <c:v>5.7600000000000005E-2</c:v>
                </c:pt>
                <c:pt idx="7">
                  <c:v>4.5400000000000003E-2</c:v>
                </c:pt>
                <c:pt idx="8">
                  <c:v>2.3900000000000001E-2</c:v>
                </c:pt>
                <c:pt idx="9">
                  <c:v>-1.1599999999999997E-2</c:v>
                </c:pt>
                <c:pt idx="10">
                  <c:v>-3.0300000000000001E-2</c:v>
                </c:pt>
                <c:pt idx="11">
                  <c:v>4.6000000000000008E-3</c:v>
                </c:pt>
                <c:pt idx="12">
                  <c:v>3.5099999999999999E-2</c:v>
                </c:pt>
                <c:pt idx="13">
                  <c:v>8.8000000000000023E-3</c:v>
                </c:pt>
                <c:pt idx="14">
                  <c:v>6.4000000000000012E-3</c:v>
                </c:pt>
                <c:pt idx="15">
                  <c:v>2.0999999999999999E-3</c:v>
                </c:pt>
                <c:pt idx="16">
                  <c:v>2.4299999999999999E-2</c:v>
                </c:pt>
                <c:pt idx="17">
                  <c:v>-1.2900000000000002E-2</c:v>
                </c:pt>
                <c:pt idx="18">
                  <c:v>-8.4800000000000014E-2</c:v>
                </c:pt>
                <c:pt idx="19">
                  <c:v>-1.6799999999999999E-2</c:v>
                </c:pt>
                <c:pt idx="20">
                  <c:v>3.44E-2</c:v>
                </c:pt>
                <c:pt idx="21">
                  <c:v>-2.1999999999999999E-2</c:v>
                </c:pt>
                <c:pt idx="22">
                  <c:v>-1.1299999999999998E-2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主要指数!$C$25</c:f>
              <c:strCache>
                <c:ptCount val="1"/>
                <c:pt idx="0">
                  <c:v>沪深300</c:v>
                </c:pt>
              </c:strCache>
            </c:strRef>
          </c:tx>
          <c:spPr>
            <a:ln w="0"/>
          </c:spPr>
          <c:marker>
            <c:symbol val="none"/>
          </c:marker>
          <c:cat>
            <c:numRef>
              <c:f>主要指数!$A$26:$A$48</c:f>
              <c:numCache>
                <c:formatCode>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主要指数!$C$26:$C$48</c:f>
              <c:numCache>
                <c:formatCode>0.00%</c:formatCode>
                <c:ptCount val="23"/>
                <c:pt idx="0">
                  <c:v>-4.9200000000000008E-2</c:v>
                </c:pt>
                <c:pt idx="1">
                  <c:v>-3.4099999999999998E-2</c:v>
                </c:pt>
                <c:pt idx="2">
                  <c:v>-5.4100000000000009E-2</c:v>
                </c:pt>
                <c:pt idx="3">
                  <c:v>2.9000000000000001E-2</c:v>
                </c:pt>
                <c:pt idx="4">
                  <c:v>-1.7600000000000001E-2</c:v>
                </c:pt>
                <c:pt idx="5">
                  <c:v>-6.7500000000000004E-2</c:v>
                </c:pt>
                <c:pt idx="6">
                  <c:v>6.4000000000000015E-2</c:v>
                </c:pt>
                <c:pt idx="7">
                  <c:v>5.3600000000000002E-2</c:v>
                </c:pt>
                <c:pt idx="8">
                  <c:v>2.5600000000000005E-2</c:v>
                </c:pt>
                <c:pt idx="9">
                  <c:v>-2.3699999999999999E-2</c:v>
                </c:pt>
                <c:pt idx="10">
                  <c:v>-3.5400000000000001E-2</c:v>
                </c:pt>
                <c:pt idx="11">
                  <c:v>7.7000000000000011E-3</c:v>
                </c:pt>
                <c:pt idx="12">
                  <c:v>3.8600000000000002E-2</c:v>
                </c:pt>
                <c:pt idx="13">
                  <c:v>2.2000000000000006E-3</c:v>
                </c:pt>
                <c:pt idx="14">
                  <c:v>1.2999999999999997E-3</c:v>
                </c:pt>
                <c:pt idx="15">
                  <c:v>-2.0999999999999999E-3</c:v>
                </c:pt>
                <c:pt idx="16">
                  <c:v>2.2500000000000003E-2</c:v>
                </c:pt>
                <c:pt idx="17">
                  <c:v>-1.7500000000000005E-2</c:v>
                </c:pt>
                <c:pt idx="18">
                  <c:v>-8.5600000000000037E-2</c:v>
                </c:pt>
                <c:pt idx="19">
                  <c:v>-2.0000000000000005E-3</c:v>
                </c:pt>
                <c:pt idx="20">
                  <c:v>3.1300000000000001E-2</c:v>
                </c:pt>
                <c:pt idx="21">
                  <c:v>-2.93E-2</c:v>
                </c:pt>
                <c:pt idx="22">
                  <c:v>3.0000000000000003E-4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主要指数!$D$25</c:f>
              <c:strCache>
                <c:ptCount val="1"/>
                <c:pt idx="0">
                  <c:v>深证成指</c:v>
                </c:pt>
              </c:strCache>
            </c:strRef>
          </c:tx>
          <c:spPr>
            <a:ln w="0"/>
          </c:spPr>
          <c:marker>
            <c:symbol val="none"/>
          </c:marker>
          <c:cat>
            <c:numRef>
              <c:f>主要指数!$A$26:$A$48</c:f>
              <c:numCache>
                <c:formatCode>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主要指数!$D$26:$D$48</c:f>
              <c:numCache>
                <c:formatCode>0.00%</c:formatCode>
                <c:ptCount val="23"/>
                <c:pt idx="0">
                  <c:v>-4.7900000000000005E-2</c:v>
                </c:pt>
                <c:pt idx="1">
                  <c:v>-5.3199999999999997E-2</c:v>
                </c:pt>
                <c:pt idx="2">
                  <c:v>-5.2500000000000005E-2</c:v>
                </c:pt>
                <c:pt idx="3">
                  <c:v>-1.3899999999999999E-2</c:v>
                </c:pt>
                <c:pt idx="4">
                  <c:v>-5.8000000000000003E-2</c:v>
                </c:pt>
                <c:pt idx="5">
                  <c:v>-2.9399999999999999E-2</c:v>
                </c:pt>
                <c:pt idx="6">
                  <c:v>4.2500000000000003E-2</c:v>
                </c:pt>
                <c:pt idx="7">
                  <c:v>4.5900000000000003E-2</c:v>
                </c:pt>
                <c:pt idx="8">
                  <c:v>4.7800000000000009E-2</c:v>
                </c:pt>
                <c:pt idx="9">
                  <c:v>9.1000000000000004E-3</c:v>
                </c:pt>
                <c:pt idx="10">
                  <c:v>-4.6800000000000001E-2</c:v>
                </c:pt>
                <c:pt idx="11">
                  <c:v>1.8599999999999998E-2</c:v>
                </c:pt>
                <c:pt idx="12">
                  <c:v>5.2400000000000009E-2</c:v>
                </c:pt>
                <c:pt idx="13">
                  <c:v>1.5200000000000002E-2</c:v>
                </c:pt>
                <c:pt idx="14">
                  <c:v>8.6000000000000017E-3</c:v>
                </c:pt>
                <c:pt idx="15">
                  <c:v>7.6000000000000009E-3</c:v>
                </c:pt>
                <c:pt idx="16">
                  <c:v>2.5200000000000004E-2</c:v>
                </c:pt>
                <c:pt idx="17">
                  <c:v>-1.72E-2</c:v>
                </c:pt>
                <c:pt idx="18">
                  <c:v>-7.5900000000000009E-2</c:v>
                </c:pt>
                <c:pt idx="19">
                  <c:v>-1.4100000000000001E-2</c:v>
                </c:pt>
                <c:pt idx="20">
                  <c:v>4.1099999999999998E-2</c:v>
                </c:pt>
                <c:pt idx="21">
                  <c:v>-3.3300000000000003E-2</c:v>
                </c:pt>
                <c:pt idx="22">
                  <c:v>-1.7000000000000001E-3</c:v>
                </c:pt>
              </c:numCache>
            </c:numRef>
          </c:val>
          <c:smooth val="1"/>
        </c:ser>
        <c:marker val="1"/>
        <c:axId val="78318208"/>
        <c:axId val="80748928"/>
      </c:lineChart>
      <c:dateAx>
        <c:axId val="78318208"/>
        <c:scaling>
          <c:orientation val="minMax"/>
        </c:scaling>
        <c:axPos val="b"/>
        <c:numFmt formatCode="m&quot;月&quot;d&quot;日&quot;;@" sourceLinked="1"/>
        <c:tickLblPos val="nextTo"/>
        <c:txPr>
          <a:bodyPr/>
          <a:lstStyle/>
          <a:p>
            <a:pPr>
              <a:defRPr sz="900"/>
            </a:pPr>
            <a:endParaRPr lang="zh-CN"/>
          </a:p>
        </c:txPr>
        <c:crossAx val="80748928"/>
        <c:crosses val="autoZero"/>
        <c:auto val="1"/>
        <c:lblOffset val="100"/>
      </c:dateAx>
      <c:valAx>
        <c:axId val="80748928"/>
        <c:scaling>
          <c:orientation val="minMax"/>
        </c:scaling>
        <c:axPos val="l"/>
        <c:majorGridlines/>
        <c:numFmt formatCode="0.00%" sourceLinked="1"/>
        <c:tickLblPos val="nextTo"/>
        <c:txPr>
          <a:bodyPr/>
          <a:lstStyle/>
          <a:p>
            <a:pPr>
              <a:defRPr>
                <a:latin typeface="+mn-ea"/>
                <a:ea typeface="+mn-ea"/>
              </a:defRPr>
            </a:pPr>
            <a:endParaRPr lang="zh-CN"/>
          </a:p>
        </c:txPr>
        <c:crossAx val="7831820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民企涨跌幅!$C$2</c:f>
              <c:strCache>
                <c:ptCount val="1"/>
                <c:pt idx="0">
                  <c:v>52指数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民企涨跌幅!$B$3:$B$25</c:f>
              <c:numCache>
                <c:formatCode>yyyy"年"m"月"d"日";@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民企涨跌幅!$C$3:$C$25</c:f>
              <c:numCache>
                <c:formatCode>0.00%</c:formatCode>
                <c:ptCount val="23"/>
                <c:pt idx="0">
                  <c:v>-0.13070000000000001</c:v>
                </c:pt>
                <c:pt idx="1">
                  <c:v>8.2000000000000007E-3</c:v>
                </c:pt>
                <c:pt idx="2">
                  <c:v>-4.19E-2</c:v>
                </c:pt>
                <c:pt idx="3">
                  <c:v>3.1800000000000002E-2</c:v>
                </c:pt>
                <c:pt idx="4">
                  <c:v>-1.1000000000000003E-3</c:v>
                </c:pt>
                <c:pt idx="5">
                  <c:v>-6.3800000000000009E-2</c:v>
                </c:pt>
                <c:pt idx="6">
                  <c:v>4.9300000000000004E-2</c:v>
                </c:pt>
                <c:pt idx="7">
                  <c:v>3.500000000000001E-2</c:v>
                </c:pt>
                <c:pt idx="8">
                  <c:v>2.3199999999999995E-2</c:v>
                </c:pt>
                <c:pt idx="9">
                  <c:v>-1.0900000000000002E-2</c:v>
                </c:pt>
                <c:pt idx="10">
                  <c:v>-2.6200000000000005E-2</c:v>
                </c:pt>
                <c:pt idx="11">
                  <c:v>-8.0000000000000015E-4</c:v>
                </c:pt>
                <c:pt idx="12">
                  <c:v>3.7700000000000004E-2</c:v>
                </c:pt>
                <c:pt idx="13">
                  <c:v>4.9000000000000007E-3</c:v>
                </c:pt>
                <c:pt idx="14">
                  <c:v>-3.3000000000000004E-3</c:v>
                </c:pt>
                <c:pt idx="15">
                  <c:v>-7.8299999999999995E-2</c:v>
                </c:pt>
                <c:pt idx="16">
                  <c:v>0.1109</c:v>
                </c:pt>
                <c:pt idx="17">
                  <c:v>-2.1600000000000005E-2</c:v>
                </c:pt>
                <c:pt idx="18">
                  <c:v>-0.17</c:v>
                </c:pt>
                <c:pt idx="19">
                  <c:v>2.0000000000000005E-3</c:v>
                </c:pt>
                <c:pt idx="20">
                  <c:v>-3.5200000000000002E-2</c:v>
                </c:pt>
                <c:pt idx="21">
                  <c:v>3.1700000000000006E-2</c:v>
                </c:pt>
                <c:pt idx="22">
                  <c:v>7.1000000000000004E-3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民企涨跌幅!$D$2</c:f>
              <c:strCache>
                <c:ptCount val="1"/>
                <c:pt idx="0">
                  <c:v>民企200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民企涨跌幅!$B$3:$B$25</c:f>
              <c:numCache>
                <c:formatCode>yyyy"年"m"月"d"日";@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民企涨跌幅!$D$3:$D$25</c:f>
              <c:numCache>
                <c:formatCode>0.00%</c:formatCode>
                <c:ptCount val="23"/>
                <c:pt idx="0">
                  <c:v>-3.8300000000000001E-2</c:v>
                </c:pt>
                <c:pt idx="1">
                  <c:v>-4.5900000000000003E-2</c:v>
                </c:pt>
                <c:pt idx="2">
                  <c:v>-4.5800000000000007E-2</c:v>
                </c:pt>
                <c:pt idx="3">
                  <c:v>7.7000000000000011E-3</c:v>
                </c:pt>
                <c:pt idx="4">
                  <c:v>-4.2700000000000009E-2</c:v>
                </c:pt>
                <c:pt idx="5">
                  <c:v>-2.9600000000000001E-2</c:v>
                </c:pt>
                <c:pt idx="6">
                  <c:v>3.15E-2</c:v>
                </c:pt>
                <c:pt idx="7">
                  <c:v>3.32E-2</c:v>
                </c:pt>
                <c:pt idx="8">
                  <c:v>4.4299999999999999E-2</c:v>
                </c:pt>
                <c:pt idx="9">
                  <c:v>1.4E-2</c:v>
                </c:pt>
                <c:pt idx="10">
                  <c:v>-4.0900000000000006E-2</c:v>
                </c:pt>
                <c:pt idx="11">
                  <c:v>1.2699999999999998E-2</c:v>
                </c:pt>
                <c:pt idx="12">
                  <c:v>4.7200000000000006E-2</c:v>
                </c:pt>
                <c:pt idx="13">
                  <c:v>1.0800000000000002E-2</c:v>
                </c:pt>
                <c:pt idx="14">
                  <c:v>9.3000000000000027E-3</c:v>
                </c:pt>
                <c:pt idx="15">
                  <c:v>6.5000000000000014E-3</c:v>
                </c:pt>
                <c:pt idx="16">
                  <c:v>2.0299999999999999E-2</c:v>
                </c:pt>
                <c:pt idx="17">
                  <c:v>-2.07E-2</c:v>
                </c:pt>
                <c:pt idx="18">
                  <c:v>-7.6700000000000004E-2</c:v>
                </c:pt>
                <c:pt idx="19">
                  <c:v>-7.4000000000000012E-3</c:v>
                </c:pt>
                <c:pt idx="20">
                  <c:v>3.790000000000001E-2</c:v>
                </c:pt>
                <c:pt idx="21">
                  <c:v>-3.2300000000000002E-2</c:v>
                </c:pt>
                <c:pt idx="22">
                  <c:v>4.1000000000000003E-3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民企涨跌幅!$E$2</c:f>
              <c:strCache>
                <c:ptCount val="1"/>
                <c:pt idx="0">
                  <c:v>深证民营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民企涨跌幅!$B$3:$B$25</c:f>
              <c:numCache>
                <c:formatCode>yyyy"年"m"月"d"日";@</c:formatCode>
                <c:ptCount val="23"/>
                <c:pt idx="0">
                  <c:v>42186</c:v>
                </c:pt>
                <c:pt idx="1">
                  <c:v>42187</c:v>
                </c:pt>
                <c:pt idx="2">
                  <c:v>42188</c:v>
                </c:pt>
                <c:pt idx="3">
                  <c:v>42191</c:v>
                </c:pt>
                <c:pt idx="4">
                  <c:v>42192</c:v>
                </c:pt>
                <c:pt idx="5">
                  <c:v>42193</c:v>
                </c:pt>
                <c:pt idx="6">
                  <c:v>42194</c:v>
                </c:pt>
                <c:pt idx="7">
                  <c:v>42195</c:v>
                </c:pt>
                <c:pt idx="8">
                  <c:v>42198</c:v>
                </c:pt>
                <c:pt idx="9">
                  <c:v>42199</c:v>
                </c:pt>
                <c:pt idx="10">
                  <c:v>42200</c:v>
                </c:pt>
                <c:pt idx="11">
                  <c:v>42201</c:v>
                </c:pt>
                <c:pt idx="12">
                  <c:v>42202</c:v>
                </c:pt>
                <c:pt idx="13">
                  <c:v>42205</c:v>
                </c:pt>
                <c:pt idx="14">
                  <c:v>42206</c:v>
                </c:pt>
                <c:pt idx="15">
                  <c:v>42207</c:v>
                </c:pt>
                <c:pt idx="16">
                  <c:v>42208</c:v>
                </c:pt>
                <c:pt idx="17">
                  <c:v>42209</c:v>
                </c:pt>
                <c:pt idx="18">
                  <c:v>42212</c:v>
                </c:pt>
                <c:pt idx="19">
                  <c:v>42213</c:v>
                </c:pt>
                <c:pt idx="20">
                  <c:v>42214</c:v>
                </c:pt>
                <c:pt idx="21">
                  <c:v>42215</c:v>
                </c:pt>
                <c:pt idx="22">
                  <c:v>42216</c:v>
                </c:pt>
              </c:numCache>
            </c:numRef>
          </c:cat>
          <c:val>
            <c:numRef>
              <c:f>民企涨跌幅!$E$3:$E$25</c:f>
              <c:numCache>
                <c:formatCode>0.00%</c:formatCode>
                <c:ptCount val="23"/>
                <c:pt idx="0">
                  <c:v>-3.9699999999999999E-2</c:v>
                </c:pt>
                <c:pt idx="1">
                  <c:v>-4.1500000000000002E-2</c:v>
                </c:pt>
                <c:pt idx="2">
                  <c:v>-3.4500000000000003E-2</c:v>
                </c:pt>
                <c:pt idx="3">
                  <c:v>-7.7000000000000011E-3</c:v>
                </c:pt>
                <c:pt idx="4">
                  <c:v>-6.1800000000000001E-2</c:v>
                </c:pt>
                <c:pt idx="5">
                  <c:v>-2.0600000000000004E-2</c:v>
                </c:pt>
                <c:pt idx="6">
                  <c:v>3.5400000000000001E-2</c:v>
                </c:pt>
                <c:pt idx="7">
                  <c:v>4.6899999999999997E-2</c:v>
                </c:pt>
                <c:pt idx="8">
                  <c:v>5.3300000000000007E-2</c:v>
                </c:pt>
                <c:pt idx="9">
                  <c:v>1.4500000000000001E-2</c:v>
                </c:pt>
                <c:pt idx="10">
                  <c:v>-5.0200000000000002E-2</c:v>
                </c:pt>
                <c:pt idx="11">
                  <c:v>2.1600000000000005E-2</c:v>
                </c:pt>
                <c:pt idx="12">
                  <c:v>5.8200000000000002E-2</c:v>
                </c:pt>
                <c:pt idx="13">
                  <c:v>1.4E-2</c:v>
                </c:pt>
                <c:pt idx="14">
                  <c:v>7.1000000000000004E-3</c:v>
                </c:pt>
                <c:pt idx="15">
                  <c:v>5.9000000000000007E-3</c:v>
                </c:pt>
                <c:pt idx="16">
                  <c:v>2.1700000000000001E-2</c:v>
                </c:pt>
                <c:pt idx="17">
                  <c:v>-4.3700000000000003E-2</c:v>
                </c:pt>
                <c:pt idx="18">
                  <c:v>-6.4500000000000016E-2</c:v>
                </c:pt>
                <c:pt idx="19">
                  <c:v>-1.43E-2</c:v>
                </c:pt>
                <c:pt idx="20">
                  <c:v>4.4900000000000009E-2</c:v>
                </c:pt>
                <c:pt idx="21">
                  <c:v>-3.960000000000001E-2</c:v>
                </c:pt>
                <c:pt idx="22">
                  <c:v>7.4000000000000012E-3</c:v>
                </c:pt>
              </c:numCache>
            </c:numRef>
          </c:val>
          <c:smooth val="1"/>
        </c:ser>
        <c:marker val="1"/>
        <c:axId val="87196416"/>
        <c:axId val="87207936"/>
      </c:lineChart>
      <c:dateAx>
        <c:axId val="87196416"/>
        <c:scaling>
          <c:orientation val="minMax"/>
        </c:scaling>
        <c:axPos val="b"/>
        <c:numFmt formatCode="yyyy&quot;年&quot;m&quot;月&quot;d&quot;日&quot;;@" sourceLinked="1"/>
        <c:tickLblPos val="nextTo"/>
        <c:crossAx val="87207936"/>
        <c:crosses val="autoZero"/>
        <c:auto val="1"/>
        <c:lblOffset val="100"/>
      </c:dateAx>
      <c:valAx>
        <c:axId val="87207936"/>
        <c:scaling>
          <c:orientation val="minMax"/>
        </c:scaling>
        <c:axPos val="l"/>
        <c:majorGridlines/>
        <c:numFmt formatCode="0.00%" sourceLinked="1"/>
        <c:tickLblPos val="nextTo"/>
        <c:crossAx val="8719641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/>
      <c:pieChart>
        <c:varyColors val="1"/>
        <c:ser>
          <c:idx val="0"/>
          <c:order val="0"/>
          <c:tx>
            <c:strRef>
              <c:f>图表!$C$2</c:f>
              <c:strCache>
                <c:ptCount val="1"/>
                <c:pt idx="0">
                  <c:v>市值(亿元)</c:v>
                </c:pt>
              </c:strCache>
            </c:strRef>
          </c:tx>
          <c:dPt>
            <c:idx val="0"/>
            <c:explosion val="3"/>
          </c:dPt>
          <c:dLbls>
            <c:dLbl>
              <c:idx val="1"/>
              <c:layout>
                <c:manualLayout>
                  <c:x val="1.1747456517225412E-2"/>
                  <c:y val="-5.619005159356597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9.9479218241736E-2"/>
                  <c:y val="8.940914427142027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-4.2358265054596382E-2"/>
                  <c:y val="2.940515653342054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2.8356994049776926E-2"/>
                  <c:y val="8.4033638158065027E-3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18868384545854419"/>
                  <c:y val="1.2138192178387158E-2"/>
                </c:manualLayout>
              </c:layout>
              <c:showCatName val="1"/>
              <c:showPercent val="1"/>
            </c:dLbl>
            <c:showCatName val="1"/>
            <c:showPercent val="1"/>
          </c:dLbls>
          <c:cat>
            <c:strRef>
              <c:f>图表!$B$3:$B$9</c:f>
              <c:strCache>
                <c:ptCount val="7"/>
                <c:pt idx="0">
                  <c:v>制造业</c:v>
                </c:pt>
                <c:pt idx="1">
                  <c:v>房地产与建筑业</c:v>
                </c:pt>
                <c:pt idx="2">
                  <c:v>金融业</c:v>
                </c:pt>
                <c:pt idx="3">
                  <c:v>批发零售业</c:v>
                </c:pt>
                <c:pt idx="4">
                  <c:v>信息技术业</c:v>
                </c:pt>
                <c:pt idx="5">
                  <c:v>公用事业</c:v>
                </c:pt>
                <c:pt idx="6">
                  <c:v>综合类</c:v>
                </c:pt>
              </c:strCache>
            </c:strRef>
          </c:cat>
          <c:val>
            <c:numRef>
              <c:f>图表!$C$3:$C$9</c:f>
              <c:numCache>
                <c:formatCode>General</c:formatCode>
                <c:ptCount val="7"/>
                <c:pt idx="0">
                  <c:v>12662.212500000001</c:v>
                </c:pt>
                <c:pt idx="1">
                  <c:v>2085.4785999999999</c:v>
                </c:pt>
                <c:pt idx="2">
                  <c:v>8135.6750000000002</c:v>
                </c:pt>
                <c:pt idx="3">
                  <c:v>1018.1156999999998</c:v>
                </c:pt>
                <c:pt idx="4">
                  <c:v>941.41459999999984</c:v>
                </c:pt>
                <c:pt idx="5">
                  <c:v>527.90779999999984</c:v>
                </c:pt>
                <c:pt idx="6">
                  <c:v>593.61109999999996</c:v>
                </c:pt>
              </c:numCache>
            </c:numRef>
          </c:val>
        </c:ser>
        <c:ser>
          <c:idx val="1"/>
          <c:order val="1"/>
          <c:tx>
            <c:strRef>
              <c:f>图表!$D$2</c:f>
              <c:strCache>
                <c:ptCount val="1"/>
                <c:pt idx="0">
                  <c:v>占比</c:v>
                </c:pt>
              </c:strCache>
            </c:strRef>
          </c:tx>
          <c:dLbls>
            <c:showCatName val="1"/>
            <c:showPercent val="1"/>
          </c:dLbls>
          <c:cat>
            <c:strRef>
              <c:f>图表!$B$3:$B$9</c:f>
              <c:strCache>
                <c:ptCount val="7"/>
                <c:pt idx="0">
                  <c:v>制造业</c:v>
                </c:pt>
                <c:pt idx="1">
                  <c:v>房地产与建筑业</c:v>
                </c:pt>
                <c:pt idx="2">
                  <c:v>金融业</c:v>
                </c:pt>
                <c:pt idx="3">
                  <c:v>批发零售业</c:v>
                </c:pt>
                <c:pt idx="4">
                  <c:v>信息技术业</c:v>
                </c:pt>
                <c:pt idx="5">
                  <c:v>公用事业</c:v>
                </c:pt>
                <c:pt idx="6">
                  <c:v>综合类</c:v>
                </c:pt>
              </c:strCache>
            </c:strRef>
          </c:cat>
          <c:val>
            <c:numRef>
              <c:f>图表!$D$3:$D$9</c:f>
              <c:numCache>
                <c:formatCode>0.00%</c:formatCode>
                <c:ptCount val="7"/>
                <c:pt idx="0">
                  <c:v>0.48793792941800734</c:v>
                </c:pt>
                <c:pt idx="1">
                  <c:v>8.0363847149900927E-2</c:v>
                </c:pt>
                <c:pt idx="2">
                  <c:v>0.31350796031245326</c:v>
                </c:pt>
                <c:pt idx="3">
                  <c:v>3.9233053983730351E-2</c:v>
                </c:pt>
                <c:pt idx="4">
                  <c:v>3.6277379695521757E-2</c:v>
                </c:pt>
                <c:pt idx="5">
                  <c:v>2.0342909176071372E-2</c:v>
                </c:pt>
                <c:pt idx="6">
                  <c:v>2.2874783614123192E-2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87A82-6C3C-48E5-A21E-DE50F0F9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234</Words>
  <Characters>1339</Characters>
  <Application>Microsoft Office Word</Application>
  <DocSecurity>0</DocSecurity>
  <Lines>11</Lines>
  <Paragraphs>3</Paragraphs>
  <ScaleCrop>false</ScaleCrop>
  <Company>http://sdwm.org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91</cp:revision>
  <dcterms:created xsi:type="dcterms:W3CDTF">2015-07-14T07:11:00Z</dcterms:created>
  <dcterms:modified xsi:type="dcterms:W3CDTF">2015-08-05T02:58:00Z</dcterms:modified>
</cp:coreProperties>
</file>