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B6" w:rsidRPr="005714B6" w:rsidRDefault="005714B6" w:rsidP="005714B6">
      <w:pPr>
        <w:spacing w:beforeLines="50" w:afterLines="50"/>
        <w:ind w:firstLineChars="200" w:firstLine="562"/>
        <w:jc w:val="center"/>
        <w:rPr>
          <w:rFonts w:asciiTheme="minorEastAsia" w:hAnsiTheme="minorEastAsia" w:hint="eastAsia"/>
          <w:b/>
          <w:sz w:val="28"/>
          <w:szCs w:val="28"/>
        </w:rPr>
      </w:pPr>
      <w:bookmarkStart w:id="0" w:name="_Toc424829043"/>
      <w:r w:rsidRPr="005714B6">
        <w:rPr>
          <w:rFonts w:asciiTheme="minorEastAsia" w:hAnsiTheme="minorEastAsia" w:hint="eastAsia"/>
          <w:b/>
          <w:sz w:val="28"/>
          <w:szCs w:val="28"/>
        </w:rPr>
        <w:t>SBL52指数6月份运行报告</w:t>
      </w:r>
    </w:p>
    <w:p w:rsidR="005714B6" w:rsidRPr="00F91B77" w:rsidRDefault="005714B6" w:rsidP="005714B6">
      <w:pPr>
        <w:spacing w:beforeLines="50" w:afterLines="50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</w:t>
      </w:r>
      <w:r w:rsidRPr="00F91B77">
        <w:rPr>
          <w:rFonts w:asciiTheme="minorEastAsia" w:hAnsiTheme="minorEastAsia" w:hint="eastAsia"/>
          <w:b/>
          <w:szCs w:val="21"/>
        </w:rPr>
        <w:t>.市场表现</w:t>
      </w:r>
      <w:bookmarkEnd w:id="0"/>
    </w:p>
    <w:p w:rsidR="005714B6" w:rsidRDefault="005714B6" w:rsidP="005714B6">
      <w:pPr>
        <w:ind w:firstLineChars="200" w:firstLine="420"/>
      </w:pPr>
      <w:r>
        <w:rPr>
          <w:rFonts w:hint="eastAsia"/>
        </w:rPr>
        <w:t>SBL 52</w:t>
      </w:r>
      <w:r>
        <w:rPr>
          <w:rFonts w:hint="eastAsia"/>
        </w:rPr>
        <w:t>民企指数本月开盘</w:t>
      </w:r>
      <w:r>
        <w:rPr>
          <w:rFonts w:hint="eastAsia"/>
        </w:rPr>
        <w:t>862.02</w:t>
      </w:r>
      <w:r>
        <w:rPr>
          <w:rFonts w:hint="eastAsia"/>
        </w:rPr>
        <w:t>点，最高</w:t>
      </w:r>
      <w:r>
        <w:rPr>
          <w:rFonts w:hint="eastAsia"/>
        </w:rPr>
        <w:t>892.81</w:t>
      </w:r>
      <w:r>
        <w:rPr>
          <w:rFonts w:hint="eastAsia"/>
        </w:rPr>
        <w:t>点，最低</w:t>
      </w:r>
      <w:r>
        <w:rPr>
          <w:rFonts w:hint="eastAsia"/>
        </w:rPr>
        <w:t>695.13</w:t>
      </w:r>
      <w:r>
        <w:rPr>
          <w:rFonts w:hint="eastAsia"/>
        </w:rPr>
        <w:t>点，收盘</w:t>
      </w:r>
      <w:r>
        <w:rPr>
          <w:rFonts w:hint="eastAsia"/>
        </w:rPr>
        <w:t>744.22</w:t>
      </w:r>
      <w:r>
        <w:rPr>
          <w:rFonts w:hint="eastAsia"/>
        </w:rPr>
        <w:t>点，下跌</w:t>
      </w:r>
      <w:r>
        <w:rPr>
          <w:rFonts w:hint="eastAsia"/>
        </w:rPr>
        <w:t>86.4</w:t>
      </w:r>
      <w:r>
        <w:rPr>
          <w:rFonts w:hint="eastAsia"/>
        </w:rPr>
        <w:t>点，跌幅</w:t>
      </w:r>
      <w:r>
        <w:rPr>
          <w:rFonts w:hint="eastAsia"/>
        </w:rPr>
        <w:t>10.4%</w:t>
      </w:r>
      <w:r>
        <w:rPr>
          <w:rFonts w:hint="eastAsia"/>
        </w:rPr>
        <w:t>。</w:t>
      </w:r>
    </w:p>
    <w:p w:rsidR="005714B6" w:rsidRPr="002F751A" w:rsidRDefault="005714B6" w:rsidP="005714B6">
      <w:pPr>
        <w:spacing w:beforeLines="50"/>
        <w:ind w:firstLineChars="200" w:firstLine="422"/>
        <w:jc w:val="center"/>
        <w:rPr>
          <w:b/>
        </w:rPr>
      </w:pPr>
      <w:r>
        <w:rPr>
          <w:rFonts w:hint="eastAsia"/>
          <w:b/>
        </w:rPr>
        <w:t>图表</w:t>
      </w:r>
      <w:r>
        <w:rPr>
          <w:rFonts w:hint="eastAsia"/>
          <w:b/>
        </w:rPr>
        <w:t>5</w:t>
      </w:r>
      <w:r>
        <w:rPr>
          <w:rFonts w:hint="eastAsia"/>
          <w:b/>
        </w:rPr>
        <w:t>：</w:t>
      </w:r>
      <w:r w:rsidRPr="005A397D">
        <w:rPr>
          <w:rFonts w:hint="eastAsia"/>
          <w:b/>
        </w:rPr>
        <w:t>52</w:t>
      </w:r>
      <w:r w:rsidRPr="005A397D">
        <w:rPr>
          <w:rFonts w:hint="eastAsia"/>
          <w:b/>
        </w:rPr>
        <w:t>指数</w:t>
      </w:r>
      <w:r>
        <w:rPr>
          <w:rFonts w:hint="eastAsia"/>
          <w:b/>
        </w:rPr>
        <w:t>与其他主要指数收盘情况</w:t>
      </w:r>
    </w:p>
    <w:tbl>
      <w:tblPr>
        <w:tblStyle w:val="a5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5714B6" w:rsidTr="00A55B55"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  <w:r>
              <w:rPr>
                <w:rFonts w:hint="eastAsia"/>
                <w:color w:val="000000"/>
                <w:sz w:val="22"/>
              </w:rPr>
              <w:t>指数</w:t>
            </w:r>
          </w:p>
        </w:tc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上证</w:t>
            </w:r>
          </w:p>
        </w:tc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深证成指</w:t>
            </w:r>
          </w:p>
        </w:tc>
        <w:tc>
          <w:tcPr>
            <w:tcW w:w="121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深证民营</w:t>
            </w:r>
          </w:p>
        </w:tc>
        <w:tc>
          <w:tcPr>
            <w:tcW w:w="121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民企</w:t>
            </w: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21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沪深</w:t>
            </w:r>
            <w:r>
              <w:rPr>
                <w:rFonts w:hint="eastAsia"/>
                <w:color w:val="000000"/>
                <w:sz w:val="22"/>
              </w:rPr>
              <w:t>300</w:t>
            </w:r>
          </w:p>
        </w:tc>
      </w:tr>
      <w:tr w:rsidR="005714B6" w:rsidTr="00A55B55"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上月收盘</w:t>
            </w:r>
          </w:p>
        </w:tc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830.62</w:t>
            </w:r>
          </w:p>
        </w:tc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4611.74</w:t>
            </w:r>
          </w:p>
        </w:tc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16100.45</w:t>
            </w:r>
          </w:p>
        </w:tc>
        <w:tc>
          <w:tcPr>
            <w:tcW w:w="121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6748.27</w:t>
            </w:r>
          </w:p>
        </w:tc>
        <w:tc>
          <w:tcPr>
            <w:tcW w:w="121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2489.1</w:t>
            </w:r>
          </w:p>
        </w:tc>
        <w:tc>
          <w:tcPr>
            <w:tcW w:w="121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4840.83</w:t>
            </w:r>
          </w:p>
        </w:tc>
      </w:tr>
      <w:tr w:rsidR="005714B6" w:rsidTr="00A55B55"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本月收盘</w:t>
            </w:r>
          </w:p>
        </w:tc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744.22</w:t>
            </w:r>
          </w:p>
        </w:tc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4277.22</w:t>
            </w:r>
          </w:p>
        </w:tc>
        <w:tc>
          <w:tcPr>
            <w:tcW w:w="1217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14337.97</w:t>
            </w:r>
          </w:p>
        </w:tc>
        <w:tc>
          <w:tcPr>
            <w:tcW w:w="121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5701.16</w:t>
            </w:r>
          </w:p>
        </w:tc>
        <w:tc>
          <w:tcPr>
            <w:tcW w:w="121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2197.3</w:t>
            </w:r>
          </w:p>
        </w:tc>
        <w:tc>
          <w:tcPr>
            <w:tcW w:w="121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4473</w:t>
            </w:r>
          </w:p>
        </w:tc>
      </w:tr>
    </w:tbl>
    <w:p w:rsidR="005714B6" w:rsidRDefault="005714B6" w:rsidP="005714B6"/>
    <w:p w:rsidR="005714B6" w:rsidRDefault="005714B6" w:rsidP="005714B6">
      <w:pPr>
        <w:ind w:firstLineChars="200" w:firstLine="420"/>
      </w:pPr>
      <w:r>
        <w:rPr>
          <w:rFonts w:hint="eastAsia"/>
        </w:rPr>
        <w:t>同期，上证综指跌幅</w:t>
      </w:r>
      <w:r>
        <w:rPr>
          <w:rFonts w:hint="eastAsia"/>
        </w:rPr>
        <w:t>7.25%</w:t>
      </w:r>
      <w:r>
        <w:rPr>
          <w:rFonts w:hint="eastAsia"/>
        </w:rPr>
        <w:t>，沪深</w:t>
      </w:r>
      <w:r>
        <w:rPr>
          <w:rFonts w:hint="eastAsia"/>
        </w:rPr>
        <w:t>300</w:t>
      </w:r>
      <w:r>
        <w:rPr>
          <w:rFonts w:hint="eastAsia"/>
        </w:rPr>
        <w:t>跌幅</w:t>
      </w:r>
      <w:r>
        <w:rPr>
          <w:rFonts w:hint="eastAsia"/>
        </w:rPr>
        <w:t>7.60%</w:t>
      </w:r>
      <w:r>
        <w:rPr>
          <w:rFonts w:hint="eastAsia"/>
        </w:rPr>
        <w:t>，深证成指跌幅</w:t>
      </w:r>
      <w:r>
        <w:rPr>
          <w:rFonts w:hint="eastAsia"/>
        </w:rPr>
        <w:t>10.95%</w:t>
      </w:r>
      <w:r>
        <w:rPr>
          <w:rFonts w:hint="eastAsia"/>
        </w:rPr>
        <w:t>，中证民企</w:t>
      </w:r>
      <w:r>
        <w:rPr>
          <w:rFonts w:hint="eastAsia"/>
        </w:rPr>
        <w:t>200</w:t>
      </w:r>
      <w:r>
        <w:rPr>
          <w:rFonts w:hint="eastAsia"/>
        </w:rPr>
        <w:t>跌幅</w:t>
      </w:r>
      <w:r>
        <w:rPr>
          <w:rFonts w:hint="eastAsia"/>
        </w:rPr>
        <w:t>11.72%</w:t>
      </w:r>
      <w:r>
        <w:rPr>
          <w:rFonts w:hint="eastAsia"/>
        </w:rPr>
        <w:t>，深证民营跌幅</w:t>
      </w:r>
      <w:r>
        <w:rPr>
          <w:rFonts w:hint="eastAsia"/>
        </w:rPr>
        <w:t>15.52%</w:t>
      </w:r>
      <w:r>
        <w:rPr>
          <w:rFonts w:hint="eastAsia"/>
        </w:rPr>
        <w:t>——</w:t>
      </w:r>
      <w:r>
        <w:rPr>
          <w:rFonts w:hint="eastAsia"/>
        </w:rPr>
        <w:t>SBL</w:t>
      </w:r>
      <w:r>
        <w:rPr>
          <w:rFonts w:hint="eastAsia"/>
        </w:rPr>
        <w:t>中国民企</w:t>
      </w:r>
      <w:r>
        <w:rPr>
          <w:rFonts w:hint="eastAsia"/>
        </w:rPr>
        <w:t>52</w:t>
      </w:r>
      <w:r>
        <w:rPr>
          <w:rFonts w:hint="eastAsia"/>
        </w:rPr>
        <w:t>指数的表现显著优于中证民企</w:t>
      </w:r>
      <w:r>
        <w:rPr>
          <w:rFonts w:hint="eastAsia"/>
        </w:rPr>
        <w:t>200</w:t>
      </w:r>
      <w:r>
        <w:rPr>
          <w:rFonts w:hint="eastAsia"/>
        </w:rPr>
        <w:t>和深证民营。</w:t>
      </w:r>
    </w:p>
    <w:p w:rsidR="005714B6" w:rsidRPr="002F751A" w:rsidRDefault="005714B6" w:rsidP="005714B6">
      <w:pPr>
        <w:autoSpaceDE w:val="0"/>
        <w:autoSpaceDN w:val="0"/>
        <w:adjustRightInd w:val="0"/>
        <w:ind w:firstLineChars="250" w:firstLine="525"/>
        <w:jc w:val="left"/>
        <w:rPr>
          <w:rFonts w:ascii="宋体" w:hAnsi="MS Sans Serif"/>
          <w:kern w:val="0"/>
          <w:szCs w:val="24"/>
        </w:rPr>
      </w:pPr>
      <w:r w:rsidRPr="002F0655">
        <w:rPr>
          <w:rFonts w:ascii="宋体" w:hAnsi="MS Sans Serif" w:hint="eastAsia"/>
          <w:kern w:val="0"/>
          <w:szCs w:val="24"/>
        </w:rPr>
        <w:t>2015年6月份SBL52中国民企成指、上证</w:t>
      </w:r>
      <w:r>
        <w:rPr>
          <w:rFonts w:ascii="宋体" w:hAnsi="MS Sans Serif" w:hint="eastAsia"/>
          <w:kern w:val="0"/>
          <w:szCs w:val="24"/>
        </w:rPr>
        <w:t>综合</w:t>
      </w:r>
      <w:r w:rsidRPr="002F0655">
        <w:rPr>
          <w:rFonts w:ascii="宋体" w:hAnsi="MS Sans Serif" w:hint="eastAsia"/>
          <w:kern w:val="0"/>
          <w:szCs w:val="24"/>
        </w:rPr>
        <w:t>指数、深证成指、沪深300、</w:t>
      </w:r>
      <w:r>
        <w:rPr>
          <w:rFonts w:ascii="宋体" w:hAnsi="MS Sans Serif" w:hint="eastAsia"/>
          <w:kern w:val="0"/>
          <w:szCs w:val="24"/>
        </w:rPr>
        <w:t>中证</w:t>
      </w:r>
      <w:r w:rsidRPr="002F0655">
        <w:rPr>
          <w:rFonts w:ascii="宋体" w:hAnsi="MS Sans Serif" w:hint="eastAsia"/>
          <w:kern w:val="0"/>
          <w:szCs w:val="24"/>
        </w:rPr>
        <w:t>民企200、深证民营指数日涨跌百分比数据走势叠加对比，如下图：</w:t>
      </w:r>
    </w:p>
    <w:p w:rsidR="005714B6" w:rsidRPr="00F00AFE" w:rsidRDefault="005714B6" w:rsidP="005714B6">
      <w:pPr>
        <w:spacing w:beforeLines="50"/>
        <w:ind w:firstLineChars="200" w:firstLine="422"/>
        <w:jc w:val="center"/>
      </w:pPr>
      <w:r>
        <w:rPr>
          <w:rFonts w:hint="eastAsia"/>
          <w:b/>
        </w:rPr>
        <w:t>图表</w:t>
      </w:r>
      <w:r>
        <w:rPr>
          <w:rFonts w:hint="eastAsia"/>
          <w:b/>
        </w:rPr>
        <w:t>7</w:t>
      </w:r>
      <w:r>
        <w:rPr>
          <w:rFonts w:hint="eastAsia"/>
          <w:b/>
        </w:rPr>
        <w:t>：市场主要指数表现对比</w:t>
      </w:r>
    </w:p>
    <w:p w:rsidR="005714B6" w:rsidRDefault="005714B6" w:rsidP="005714B6">
      <w:pPr>
        <w:ind w:firstLineChars="50" w:firstLine="105"/>
        <w:jc w:val="left"/>
      </w:pPr>
      <w:r w:rsidRPr="003F5343">
        <w:rPr>
          <w:noProof/>
        </w:rPr>
        <w:drawing>
          <wp:inline distT="0" distB="0" distL="0" distR="0">
            <wp:extent cx="4829175" cy="2838449"/>
            <wp:effectExtent l="19050" t="0" r="9525" b="1"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14B6" w:rsidRPr="003F5343" w:rsidRDefault="005714B6" w:rsidP="005714B6">
      <w:pPr>
        <w:spacing w:beforeLines="50"/>
        <w:ind w:firstLineChars="200" w:firstLine="422"/>
        <w:jc w:val="center"/>
      </w:pPr>
      <w:r>
        <w:rPr>
          <w:rFonts w:hint="eastAsia"/>
          <w:b/>
        </w:rPr>
        <w:t>图表</w:t>
      </w:r>
      <w:r>
        <w:rPr>
          <w:rFonts w:hint="eastAsia"/>
          <w:b/>
        </w:rPr>
        <w:t>8</w:t>
      </w:r>
      <w:r>
        <w:rPr>
          <w:rFonts w:hint="eastAsia"/>
          <w:b/>
        </w:rPr>
        <w:t>：</w:t>
      </w:r>
      <w:r w:rsidRPr="00BB623F">
        <w:rPr>
          <w:rFonts w:hint="eastAsia"/>
          <w:b/>
        </w:rPr>
        <w:t>SBL52</w:t>
      </w:r>
      <w:r>
        <w:rPr>
          <w:rFonts w:hint="eastAsia"/>
          <w:b/>
        </w:rPr>
        <w:t>指数与同类指数表现对比</w:t>
      </w:r>
    </w:p>
    <w:p w:rsidR="005714B6" w:rsidRPr="003F5343" w:rsidRDefault="005714B6" w:rsidP="005714B6">
      <w:r w:rsidRPr="003F5343">
        <w:rPr>
          <w:noProof/>
        </w:rPr>
        <w:lastRenderedPageBreak/>
        <w:drawing>
          <wp:inline distT="0" distB="0" distL="0" distR="0">
            <wp:extent cx="4791075" cy="2914650"/>
            <wp:effectExtent l="19050" t="0" r="9525" b="0"/>
            <wp:docPr id="10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14B6" w:rsidRPr="00F91B77" w:rsidRDefault="005714B6" w:rsidP="005714B6">
      <w:pPr>
        <w:spacing w:beforeLines="50" w:afterLines="50"/>
        <w:ind w:firstLineChars="200" w:firstLine="422"/>
        <w:rPr>
          <w:rFonts w:asciiTheme="minorEastAsia" w:hAnsiTheme="minorEastAsia"/>
          <w:b/>
          <w:szCs w:val="21"/>
        </w:rPr>
      </w:pPr>
      <w:bookmarkStart w:id="1" w:name="_Toc424829044"/>
      <w:r>
        <w:rPr>
          <w:rFonts w:asciiTheme="minorEastAsia" w:hAnsiTheme="minorEastAsia" w:hint="eastAsia"/>
          <w:b/>
          <w:szCs w:val="21"/>
        </w:rPr>
        <w:t>2</w:t>
      </w:r>
      <w:r w:rsidRPr="00F91B77">
        <w:rPr>
          <w:rFonts w:asciiTheme="minorEastAsia" w:hAnsiTheme="minorEastAsia" w:hint="eastAsia"/>
          <w:b/>
          <w:szCs w:val="21"/>
        </w:rPr>
        <w:t>.行业与公司权重</w:t>
      </w:r>
      <w:bookmarkEnd w:id="1"/>
    </w:p>
    <w:p w:rsidR="005714B6" w:rsidRDefault="005714B6" w:rsidP="005714B6">
      <w:pPr>
        <w:spacing w:afterLines="50"/>
        <w:ind w:firstLineChars="200" w:firstLine="420"/>
      </w:pPr>
      <w:r>
        <w:rPr>
          <w:rFonts w:hint="eastAsia"/>
        </w:rPr>
        <w:t>按照证监会行业分类，</w:t>
      </w:r>
      <w:r w:rsidRPr="00970916">
        <w:rPr>
          <w:rFonts w:hint="eastAsia"/>
        </w:rPr>
        <w:t>SBL52</w:t>
      </w:r>
      <w:r w:rsidRPr="00970916">
        <w:rPr>
          <w:rFonts w:hint="eastAsia"/>
        </w:rPr>
        <w:t>中国民企指数成分股</w:t>
      </w:r>
      <w:r>
        <w:rPr>
          <w:rFonts w:hint="eastAsia"/>
        </w:rPr>
        <w:t>中制造业</w:t>
      </w:r>
      <w:r>
        <w:rPr>
          <w:rFonts w:hint="eastAsia"/>
        </w:rPr>
        <w:t>38</w:t>
      </w:r>
      <w:r>
        <w:rPr>
          <w:rFonts w:hint="eastAsia"/>
        </w:rPr>
        <w:t>支，</w:t>
      </w:r>
      <w:r w:rsidRPr="00970916">
        <w:rPr>
          <w:rFonts w:hint="eastAsia"/>
        </w:rPr>
        <w:t>房地产与建筑业</w:t>
      </w:r>
      <w:r w:rsidRPr="00970916">
        <w:rPr>
          <w:rFonts w:hint="eastAsia"/>
        </w:rPr>
        <w:t>3</w:t>
      </w:r>
      <w:r>
        <w:rPr>
          <w:rFonts w:hint="eastAsia"/>
        </w:rPr>
        <w:t>支，金融业</w:t>
      </w:r>
      <w:r>
        <w:rPr>
          <w:rFonts w:hint="eastAsia"/>
        </w:rPr>
        <w:t>3</w:t>
      </w:r>
      <w:r>
        <w:rPr>
          <w:rFonts w:hint="eastAsia"/>
        </w:rPr>
        <w:t>支，批发零售业</w:t>
      </w:r>
      <w:r>
        <w:rPr>
          <w:rFonts w:hint="eastAsia"/>
        </w:rPr>
        <w:t>1</w:t>
      </w:r>
      <w:r>
        <w:rPr>
          <w:rFonts w:hint="eastAsia"/>
        </w:rPr>
        <w:t>支，信息技术业</w:t>
      </w:r>
      <w:r>
        <w:rPr>
          <w:rFonts w:hint="eastAsia"/>
        </w:rPr>
        <w:t>4</w:t>
      </w:r>
      <w:r>
        <w:rPr>
          <w:rFonts w:hint="eastAsia"/>
        </w:rPr>
        <w:t>支，公用事业</w:t>
      </w:r>
      <w:r>
        <w:rPr>
          <w:rFonts w:hint="eastAsia"/>
        </w:rPr>
        <w:t>1</w:t>
      </w:r>
      <w:r>
        <w:rPr>
          <w:rFonts w:hint="eastAsia"/>
        </w:rPr>
        <w:t>支，综合类</w:t>
      </w:r>
      <w:r>
        <w:rPr>
          <w:rFonts w:hint="eastAsia"/>
        </w:rPr>
        <w:t>2</w:t>
      </w:r>
      <w:r>
        <w:rPr>
          <w:rFonts w:hint="eastAsia"/>
        </w:rPr>
        <w:t>支；其市值占比分别为</w:t>
      </w:r>
      <w:r w:rsidRPr="00970916">
        <w:rPr>
          <w:rFonts w:hint="eastAsia"/>
        </w:rPr>
        <w:t>42.91%</w:t>
      </w:r>
      <w:r w:rsidRPr="00970916">
        <w:rPr>
          <w:rFonts w:hint="eastAsia"/>
        </w:rPr>
        <w:t>、</w:t>
      </w:r>
      <w:r w:rsidRPr="00970916">
        <w:rPr>
          <w:rFonts w:hint="eastAsia"/>
        </w:rPr>
        <w:t>6.69%</w:t>
      </w:r>
      <w:r w:rsidRPr="00970916">
        <w:rPr>
          <w:rFonts w:hint="eastAsia"/>
        </w:rPr>
        <w:t>、</w:t>
      </w:r>
      <w:r w:rsidRPr="00970916">
        <w:rPr>
          <w:rFonts w:hint="eastAsia"/>
        </w:rPr>
        <w:t>39.35%</w:t>
      </w:r>
      <w:r w:rsidRPr="00970916">
        <w:rPr>
          <w:rFonts w:hint="eastAsia"/>
        </w:rPr>
        <w:t>、</w:t>
      </w:r>
      <w:r w:rsidRPr="00970916">
        <w:rPr>
          <w:rFonts w:hint="eastAsia"/>
        </w:rPr>
        <w:t>3.38%</w:t>
      </w:r>
      <w:r w:rsidRPr="00970916">
        <w:rPr>
          <w:rFonts w:hint="eastAsia"/>
        </w:rPr>
        <w:t>、</w:t>
      </w:r>
      <w:r w:rsidRPr="00970916">
        <w:rPr>
          <w:rFonts w:hint="eastAsia"/>
        </w:rPr>
        <w:t>3.86%</w:t>
      </w:r>
      <w:r w:rsidRPr="00970916">
        <w:rPr>
          <w:rFonts w:hint="eastAsia"/>
        </w:rPr>
        <w:t>、</w:t>
      </w:r>
      <w:r w:rsidRPr="00970916">
        <w:rPr>
          <w:rFonts w:hint="eastAsia"/>
        </w:rPr>
        <w:t>1.58%</w:t>
      </w:r>
      <w:r w:rsidRPr="00970916">
        <w:rPr>
          <w:rFonts w:hint="eastAsia"/>
        </w:rPr>
        <w:t>、</w:t>
      </w:r>
      <w:r w:rsidRPr="00970916">
        <w:rPr>
          <w:rFonts w:hint="eastAsia"/>
        </w:rPr>
        <w:t>2.24%</w:t>
      </w:r>
      <w:r>
        <w:rPr>
          <w:rFonts w:hint="eastAsia"/>
        </w:rPr>
        <w:t>。</w:t>
      </w:r>
    </w:p>
    <w:p w:rsidR="005714B6" w:rsidRPr="00F00AFE" w:rsidRDefault="005714B6" w:rsidP="005714B6">
      <w:pPr>
        <w:jc w:val="center"/>
      </w:pPr>
      <w:r>
        <w:rPr>
          <w:rFonts w:hint="eastAsia"/>
          <w:b/>
        </w:rPr>
        <w:t>图表</w:t>
      </w:r>
      <w:r>
        <w:rPr>
          <w:rFonts w:hint="eastAsia"/>
          <w:b/>
        </w:rPr>
        <w:t>9</w:t>
      </w:r>
      <w:r>
        <w:rPr>
          <w:rFonts w:hint="eastAsia"/>
          <w:b/>
        </w:rPr>
        <w:t>：</w:t>
      </w:r>
      <w:r w:rsidRPr="00970916">
        <w:rPr>
          <w:rFonts w:hint="eastAsia"/>
          <w:b/>
        </w:rPr>
        <w:t>SBL52</w:t>
      </w:r>
      <w:r w:rsidRPr="00970916">
        <w:rPr>
          <w:rFonts w:hint="eastAsia"/>
          <w:b/>
        </w:rPr>
        <w:t>中国民企指数成分股行业分布</w:t>
      </w:r>
    </w:p>
    <w:tbl>
      <w:tblPr>
        <w:tblStyle w:val="a5"/>
        <w:tblW w:w="0" w:type="auto"/>
        <w:jc w:val="center"/>
        <w:tblLook w:val="04A0"/>
      </w:tblPr>
      <w:tblGrid>
        <w:gridCol w:w="2042"/>
        <w:gridCol w:w="1971"/>
        <w:gridCol w:w="2321"/>
        <w:gridCol w:w="2188"/>
      </w:tblGrid>
      <w:tr w:rsidR="005714B6" w:rsidTr="00A55B55">
        <w:trPr>
          <w:jc w:val="center"/>
        </w:trPr>
        <w:tc>
          <w:tcPr>
            <w:tcW w:w="2042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行业</w:t>
            </w:r>
          </w:p>
        </w:tc>
        <w:tc>
          <w:tcPr>
            <w:tcW w:w="1971" w:type="dxa"/>
          </w:tcPr>
          <w:p w:rsidR="005714B6" w:rsidRDefault="005714B6" w:rsidP="00A55B5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个股数量</w:t>
            </w:r>
          </w:p>
        </w:tc>
        <w:tc>
          <w:tcPr>
            <w:tcW w:w="2321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市值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亿元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18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占比</w:t>
            </w:r>
          </w:p>
        </w:tc>
      </w:tr>
      <w:tr w:rsidR="005714B6" w:rsidTr="00A55B55">
        <w:trPr>
          <w:jc w:val="center"/>
        </w:trPr>
        <w:tc>
          <w:tcPr>
            <w:tcW w:w="2042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制造业</w:t>
            </w:r>
          </w:p>
        </w:tc>
        <w:tc>
          <w:tcPr>
            <w:tcW w:w="1971" w:type="dxa"/>
          </w:tcPr>
          <w:p w:rsidR="005714B6" w:rsidRDefault="005714B6" w:rsidP="00A55B5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321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14351.934</w:t>
            </w:r>
          </w:p>
        </w:tc>
        <w:tc>
          <w:tcPr>
            <w:tcW w:w="218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42.91%</w:t>
            </w:r>
          </w:p>
        </w:tc>
      </w:tr>
      <w:tr w:rsidR="005714B6" w:rsidTr="00A55B55">
        <w:trPr>
          <w:jc w:val="center"/>
        </w:trPr>
        <w:tc>
          <w:tcPr>
            <w:tcW w:w="2042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房地产与建筑业</w:t>
            </w:r>
          </w:p>
        </w:tc>
        <w:tc>
          <w:tcPr>
            <w:tcW w:w="1971" w:type="dxa"/>
          </w:tcPr>
          <w:p w:rsidR="005714B6" w:rsidRDefault="005714B6" w:rsidP="00A55B5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21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2237.574</w:t>
            </w:r>
          </w:p>
        </w:tc>
        <w:tc>
          <w:tcPr>
            <w:tcW w:w="218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6.69%</w:t>
            </w:r>
          </w:p>
        </w:tc>
      </w:tr>
      <w:tr w:rsidR="005714B6" w:rsidTr="00A55B55">
        <w:trPr>
          <w:jc w:val="center"/>
        </w:trPr>
        <w:tc>
          <w:tcPr>
            <w:tcW w:w="2042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金融业</w:t>
            </w:r>
          </w:p>
        </w:tc>
        <w:tc>
          <w:tcPr>
            <w:tcW w:w="1971" w:type="dxa"/>
          </w:tcPr>
          <w:p w:rsidR="005714B6" w:rsidRDefault="005714B6" w:rsidP="00A55B5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21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13160.606</w:t>
            </w:r>
          </w:p>
        </w:tc>
        <w:tc>
          <w:tcPr>
            <w:tcW w:w="218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39.35%</w:t>
            </w:r>
          </w:p>
        </w:tc>
      </w:tr>
      <w:tr w:rsidR="005714B6" w:rsidTr="00A55B55">
        <w:trPr>
          <w:jc w:val="center"/>
        </w:trPr>
        <w:tc>
          <w:tcPr>
            <w:tcW w:w="2042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批发零售业</w:t>
            </w:r>
          </w:p>
        </w:tc>
        <w:tc>
          <w:tcPr>
            <w:tcW w:w="1971" w:type="dxa"/>
          </w:tcPr>
          <w:p w:rsidR="005714B6" w:rsidRDefault="005714B6" w:rsidP="00A55B5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21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1129.599</w:t>
            </w:r>
          </w:p>
        </w:tc>
        <w:tc>
          <w:tcPr>
            <w:tcW w:w="218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3.38%</w:t>
            </w:r>
          </w:p>
        </w:tc>
      </w:tr>
      <w:tr w:rsidR="005714B6" w:rsidTr="00A55B55">
        <w:trPr>
          <w:jc w:val="center"/>
        </w:trPr>
        <w:tc>
          <w:tcPr>
            <w:tcW w:w="2042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信息技术业</w:t>
            </w:r>
          </w:p>
        </w:tc>
        <w:tc>
          <w:tcPr>
            <w:tcW w:w="1971" w:type="dxa"/>
          </w:tcPr>
          <w:p w:rsidR="005714B6" w:rsidRDefault="005714B6" w:rsidP="00A55B5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21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1290.5982</w:t>
            </w:r>
          </w:p>
        </w:tc>
        <w:tc>
          <w:tcPr>
            <w:tcW w:w="218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3.86%</w:t>
            </w:r>
          </w:p>
        </w:tc>
      </w:tr>
      <w:tr w:rsidR="005714B6" w:rsidTr="00A55B55">
        <w:trPr>
          <w:jc w:val="center"/>
        </w:trPr>
        <w:tc>
          <w:tcPr>
            <w:tcW w:w="2042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公用事业</w:t>
            </w:r>
          </w:p>
        </w:tc>
        <w:tc>
          <w:tcPr>
            <w:tcW w:w="1971" w:type="dxa"/>
          </w:tcPr>
          <w:p w:rsidR="005714B6" w:rsidRDefault="005714B6" w:rsidP="00A55B5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21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527.9078</w:t>
            </w:r>
          </w:p>
        </w:tc>
        <w:tc>
          <w:tcPr>
            <w:tcW w:w="218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1.58%</w:t>
            </w:r>
          </w:p>
        </w:tc>
      </w:tr>
      <w:tr w:rsidR="005714B6" w:rsidTr="00A55B55">
        <w:trPr>
          <w:jc w:val="center"/>
        </w:trPr>
        <w:tc>
          <w:tcPr>
            <w:tcW w:w="2042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综合类</w:t>
            </w:r>
          </w:p>
        </w:tc>
        <w:tc>
          <w:tcPr>
            <w:tcW w:w="1971" w:type="dxa"/>
          </w:tcPr>
          <w:p w:rsidR="005714B6" w:rsidRDefault="005714B6" w:rsidP="00A55B5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21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748.5251</w:t>
            </w:r>
          </w:p>
        </w:tc>
        <w:tc>
          <w:tcPr>
            <w:tcW w:w="218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2.24%</w:t>
            </w:r>
          </w:p>
        </w:tc>
      </w:tr>
      <w:tr w:rsidR="005714B6" w:rsidTr="00A55B55">
        <w:trPr>
          <w:jc w:val="center"/>
        </w:trPr>
        <w:tc>
          <w:tcPr>
            <w:tcW w:w="2042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总计</w:t>
            </w:r>
          </w:p>
        </w:tc>
        <w:tc>
          <w:tcPr>
            <w:tcW w:w="1971" w:type="dxa"/>
          </w:tcPr>
          <w:p w:rsidR="005714B6" w:rsidRDefault="005714B6" w:rsidP="00A55B5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321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33446.7441</w:t>
            </w:r>
          </w:p>
        </w:tc>
        <w:tc>
          <w:tcPr>
            <w:tcW w:w="2188" w:type="dxa"/>
            <w:vAlign w:val="center"/>
          </w:tcPr>
          <w:p w:rsidR="005714B6" w:rsidRDefault="005714B6" w:rsidP="00A55B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100%</w:t>
            </w:r>
          </w:p>
        </w:tc>
      </w:tr>
    </w:tbl>
    <w:p w:rsidR="005714B6" w:rsidRDefault="005714B6" w:rsidP="005714B6">
      <w:pPr>
        <w:spacing w:beforeLines="50"/>
        <w:ind w:firstLineChars="200" w:firstLine="422"/>
        <w:jc w:val="center"/>
        <w:rPr>
          <w:b/>
        </w:rPr>
      </w:pPr>
    </w:p>
    <w:p w:rsidR="005714B6" w:rsidRDefault="005714B6" w:rsidP="005714B6">
      <w:pPr>
        <w:spacing w:beforeLines="50"/>
        <w:ind w:firstLineChars="200" w:firstLine="422"/>
        <w:jc w:val="center"/>
        <w:rPr>
          <w:b/>
        </w:rPr>
      </w:pPr>
    </w:p>
    <w:p w:rsidR="005714B6" w:rsidRDefault="005714B6" w:rsidP="005714B6">
      <w:pPr>
        <w:spacing w:beforeLines="50"/>
        <w:ind w:firstLineChars="200" w:firstLine="422"/>
        <w:jc w:val="center"/>
        <w:rPr>
          <w:b/>
        </w:rPr>
      </w:pPr>
    </w:p>
    <w:p w:rsidR="005714B6" w:rsidRDefault="005714B6" w:rsidP="005714B6">
      <w:pPr>
        <w:spacing w:beforeLines="50"/>
        <w:ind w:firstLineChars="200" w:firstLine="422"/>
        <w:jc w:val="center"/>
        <w:rPr>
          <w:b/>
        </w:rPr>
      </w:pPr>
    </w:p>
    <w:p w:rsidR="005714B6" w:rsidRDefault="005714B6" w:rsidP="005714B6">
      <w:pPr>
        <w:spacing w:beforeLines="50"/>
        <w:ind w:firstLineChars="200" w:firstLine="422"/>
        <w:jc w:val="center"/>
        <w:rPr>
          <w:b/>
        </w:rPr>
      </w:pPr>
    </w:p>
    <w:p w:rsidR="005714B6" w:rsidRDefault="005714B6" w:rsidP="005714B6">
      <w:pPr>
        <w:spacing w:beforeLines="50"/>
        <w:ind w:firstLineChars="200" w:firstLine="422"/>
        <w:jc w:val="center"/>
        <w:rPr>
          <w:b/>
        </w:rPr>
      </w:pPr>
    </w:p>
    <w:p w:rsidR="005714B6" w:rsidRDefault="005714B6" w:rsidP="005714B6">
      <w:pPr>
        <w:spacing w:beforeLines="50"/>
        <w:ind w:firstLineChars="200" w:firstLine="422"/>
        <w:jc w:val="center"/>
        <w:rPr>
          <w:b/>
        </w:rPr>
      </w:pPr>
    </w:p>
    <w:p w:rsidR="005714B6" w:rsidRDefault="005714B6" w:rsidP="005714B6">
      <w:pPr>
        <w:spacing w:beforeLines="50"/>
        <w:ind w:firstLineChars="200" w:firstLine="422"/>
        <w:jc w:val="center"/>
        <w:rPr>
          <w:b/>
        </w:rPr>
      </w:pPr>
    </w:p>
    <w:p w:rsidR="005714B6" w:rsidRPr="002F751A" w:rsidRDefault="005714B6" w:rsidP="005714B6">
      <w:pPr>
        <w:spacing w:beforeLines="50"/>
        <w:ind w:firstLineChars="200" w:firstLine="422"/>
        <w:jc w:val="center"/>
        <w:rPr>
          <w:b/>
        </w:rPr>
      </w:pPr>
      <w:r>
        <w:rPr>
          <w:rFonts w:hint="eastAsia"/>
          <w:b/>
        </w:rPr>
        <w:t>图表</w:t>
      </w:r>
      <w:r>
        <w:rPr>
          <w:rFonts w:hint="eastAsia"/>
          <w:b/>
        </w:rPr>
        <w:t>10</w:t>
      </w:r>
      <w:r>
        <w:rPr>
          <w:rFonts w:hint="eastAsia"/>
          <w:b/>
        </w:rPr>
        <w:t>：</w:t>
      </w:r>
      <w:r w:rsidRPr="00970916">
        <w:rPr>
          <w:rFonts w:hint="eastAsia"/>
          <w:b/>
        </w:rPr>
        <w:t>SBL52</w:t>
      </w:r>
      <w:r w:rsidRPr="00970916">
        <w:rPr>
          <w:rFonts w:hint="eastAsia"/>
          <w:b/>
        </w:rPr>
        <w:t>中国民企指数成分股</w:t>
      </w:r>
      <w:r w:rsidRPr="001B7F54">
        <w:rPr>
          <w:rFonts w:hint="eastAsia"/>
          <w:b/>
        </w:rPr>
        <w:t>行业权重</w:t>
      </w:r>
      <w:r>
        <w:rPr>
          <w:rFonts w:hint="eastAsia"/>
          <w:b/>
        </w:rPr>
        <w:t>示意图</w:t>
      </w:r>
    </w:p>
    <w:p w:rsidR="005714B6" w:rsidRDefault="005714B6" w:rsidP="005714B6">
      <w:r w:rsidRPr="00F00AFE">
        <w:rPr>
          <w:noProof/>
        </w:rPr>
        <w:lastRenderedPageBreak/>
        <w:drawing>
          <wp:inline distT="0" distB="0" distL="0" distR="0">
            <wp:extent cx="5257800" cy="3076575"/>
            <wp:effectExtent l="19050" t="0" r="19050" b="0"/>
            <wp:docPr id="1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14B6" w:rsidRDefault="005714B6" w:rsidP="005714B6"/>
    <w:p w:rsidR="005714B6" w:rsidRPr="00A27905" w:rsidRDefault="005714B6" w:rsidP="005714B6">
      <w:pPr>
        <w:ind w:firstLineChars="200" w:firstLine="420"/>
      </w:pPr>
      <w:r w:rsidRPr="001C019E">
        <w:rPr>
          <w:rFonts w:hint="eastAsia"/>
        </w:rPr>
        <w:t>SBL52</w:t>
      </w:r>
      <w:r w:rsidRPr="001C019E">
        <w:rPr>
          <w:rFonts w:hint="eastAsia"/>
        </w:rPr>
        <w:t>中国民企指数成分股</w:t>
      </w:r>
      <w:r>
        <w:rPr>
          <w:rFonts w:hint="eastAsia"/>
        </w:rPr>
        <w:t>中，市值前</w:t>
      </w:r>
      <w:r>
        <w:rPr>
          <w:rFonts w:hint="eastAsia"/>
        </w:rPr>
        <w:t>5</w:t>
      </w:r>
      <w:r>
        <w:rPr>
          <w:rFonts w:hint="eastAsia"/>
        </w:rPr>
        <w:t>名为中国平安</w:t>
      </w:r>
      <w:r w:rsidRPr="00756DA5">
        <w:rPr>
          <w:rFonts w:hint="eastAsia"/>
        </w:rPr>
        <w:t>、民生银行、平安银行、长城汽车、比亚迪</w:t>
      </w:r>
      <w:r>
        <w:rPr>
          <w:rFonts w:hint="eastAsia"/>
        </w:rPr>
        <w:t>。</w:t>
      </w:r>
    </w:p>
    <w:p w:rsidR="005714B6" w:rsidRPr="00F91B77" w:rsidRDefault="005714B6" w:rsidP="005714B6">
      <w:pPr>
        <w:spacing w:beforeLines="50" w:afterLines="50"/>
        <w:ind w:firstLineChars="200" w:firstLine="422"/>
        <w:rPr>
          <w:rFonts w:asciiTheme="minorEastAsia" w:hAnsiTheme="minorEastAsia"/>
          <w:b/>
          <w:szCs w:val="21"/>
        </w:rPr>
      </w:pPr>
      <w:bookmarkStart w:id="2" w:name="_Toc424829045"/>
      <w:r>
        <w:rPr>
          <w:rFonts w:asciiTheme="minorEastAsia" w:hAnsiTheme="minorEastAsia" w:hint="eastAsia"/>
          <w:b/>
          <w:szCs w:val="21"/>
        </w:rPr>
        <w:t>3</w:t>
      </w:r>
      <w:r w:rsidRPr="00F91B77">
        <w:rPr>
          <w:rFonts w:asciiTheme="minorEastAsia" w:hAnsiTheme="minorEastAsia" w:hint="eastAsia"/>
          <w:b/>
          <w:szCs w:val="21"/>
        </w:rPr>
        <w:t>.相关性分析</w:t>
      </w:r>
      <w:bookmarkEnd w:id="2"/>
    </w:p>
    <w:p w:rsidR="005714B6" w:rsidRDefault="005714B6" w:rsidP="005714B6">
      <w:pPr>
        <w:ind w:firstLineChars="200" w:firstLine="420"/>
      </w:pPr>
      <w:r w:rsidRPr="00BF44E5">
        <w:rPr>
          <w:rFonts w:hint="eastAsia"/>
        </w:rPr>
        <w:t>2015</w:t>
      </w:r>
      <w:r w:rsidRPr="00BF44E5">
        <w:rPr>
          <w:rFonts w:hint="eastAsia"/>
        </w:rPr>
        <w:t>年</w:t>
      </w:r>
      <w:r w:rsidRPr="00BF44E5">
        <w:rPr>
          <w:rFonts w:hint="eastAsia"/>
        </w:rPr>
        <w:t>6</w:t>
      </w:r>
      <w:r w:rsidRPr="00BF44E5">
        <w:rPr>
          <w:rFonts w:hint="eastAsia"/>
        </w:rPr>
        <w:t>月份共</w:t>
      </w:r>
      <w:r w:rsidRPr="00BF44E5">
        <w:rPr>
          <w:rFonts w:hint="eastAsia"/>
        </w:rPr>
        <w:t>21</w:t>
      </w:r>
      <w:r w:rsidRPr="00BF44E5">
        <w:rPr>
          <w:rFonts w:hint="eastAsia"/>
        </w:rPr>
        <w:t>个交易日</w:t>
      </w:r>
      <w:r>
        <w:rPr>
          <w:rFonts w:hint="eastAsia"/>
        </w:rPr>
        <w:t>，</w:t>
      </w:r>
      <w:r w:rsidRPr="00BF44E5">
        <w:rPr>
          <w:rFonts w:hint="eastAsia"/>
        </w:rPr>
        <w:t>将</w:t>
      </w:r>
      <w:r w:rsidRPr="00DB1144">
        <w:rPr>
          <w:rFonts w:hint="eastAsia"/>
        </w:rPr>
        <w:t>SBL52</w:t>
      </w:r>
      <w:r w:rsidRPr="00DB1144">
        <w:rPr>
          <w:rFonts w:hint="eastAsia"/>
        </w:rPr>
        <w:t>中国民企成指、上证指数、深证成指、沪深</w:t>
      </w:r>
      <w:r w:rsidRPr="00DB1144">
        <w:rPr>
          <w:rFonts w:hint="eastAsia"/>
        </w:rPr>
        <w:t>300</w:t>
      </w:r>
      <w:r w:rsidRPr="00DB1144">
        <w:rPr>
          <w:rFonts w:hint="eastAsia"/>
        </w:rPr>
        <w:t>、</w:t>
      </w:r>
      <w:r>
        <w:rPr>
          <w:rFonts w:hint="eastAsia"/>
        </w:rPr>
        <w:t>中证</w:t>
      </w:r>
      <w:r w:rsidRPr="00DB1144">
        <w:rPr>
          <w:rFonts w:hint="eastAsia"/>
        </w:rPr>
        <w:t>民企</w:t>
      </w:r>
      <w:r w:rsidRPr="00DB1144">
        <w:rPr>
          <w:rFonts w:hint="eastAsia"/>
        </w:rPr>
        <w:t>200</w:t>
      </w:r>
      <w:r w:rsidRPr="00DB1144">
        <w:rPr>
          <w:rFonts w:hint="eastAsia"/>
        </w:rPr>
        <w:t>、深证民营指数</w:t>
      </w:r>
      <w:r w:rsidRPr="00BF44E5">
        <w:rPr>
          <w:rFonts w:hint="eastAsia"/>
        </w:rPr>
        <w:t>的日涨跌数据</w:t>
      </w:r>
      <w:r>
        <w:rPr>
          <w:rFonts w:hint="eastAsia"/>
        </w:rPr>
        <w:t>进行相关性分析，分析</w:t>
      </w:r>
      <w:r w:rsidRPr="00BF44E5">
        <w:rPr>
          <w:rFonts w:hint="eastAsia"/>
        </w:rPr>
        <w:t>结果</w:t>
      </w:r>
      <w:r>
        <w:rPr>
          <w:rFonts w:hint="eastAsia"/>
        </w:rPr>
        <w:t>如</w:t>
      </w:r>
      <w:r w:rsidRPr="00BF44E5">
        <w:rPr>
          <w:rFonts w:hint="eastAsia"/>
        </w:rPr>
        <w:t>下表，可以看出</w:t>
      </w:r>
      <w:r>
        <w:rPr>
          <w:rFonts w:hint="eastAsia"/>
        </w:rPr>
        <w:t>：</w:t>
      </w:r>
      <w:r w:rsidRPr="00BF44E5">
        <w:rPr>
          <w:rFonts w:hint="eastAsia"/>
        </w:rPr>
        <w:t>SBL52</w:t>
      </w:r>
      <w:r>
        <w:rPr>
          <w:rFonts w:hint="eastAsia"/>
        </w:rPr>
        <w:t>中国</w:t>
      </w:r>
      <w:r w:rsidRPr="00BF44E5">
        <w:rPr>
          <w:rFonts w:hint="eastAsia"/>
        </w:rPr>
        <w:t>民企成指与各指数的相关性，其中，与</w:t>
      </w:r>
      <w:r>
        <w:rPr>
          <w:rFonts w:hint="eastAsia"/>
        </w:rPr>
        <w:t>沪深</w:t>
      </w:r>
      <w:r>
        <w:rPr>
          <w:rFonts w:hint="eastAsia"/>
        </w:rPr>
        <w:t>300</w:t>
      </w:r>
      <w:r w:rsidRPr="00BF44E5">
        <w:rPr>
          <w:rFonts w:hint="eastAsia"/>
        </w:rPr>
        <w:t>的相关系数最高，达</w:t>
      </w:r>
      <w:r w:rsidRPr="00BF44E5">
        <w:rPr>
          <w:rFonts w:hint="eastAsia"/>
        </w:rPr>
        <w:t>0.98</w:t>
      </w:r>
      <w:r>
        <w:rPr>
          <w:rFonts w:hint="eastAsia"/>
        </w:rPr>
        <w:t>0</w:t>
      </w:r>
      <w:r w:rsidRPr="00BF44E5">
        <w:rPr>
          <w:rFonts w:hint="eastAsia"/>
        </w:rPr>
        <w:t>2</w:t>
      </w:r>
      <w:r w:rsidRPr="00BF44E5">
        <w:rPr>
          <w:rFonts w:hint="eastAsia"/>
        </w:rPr>
        <w:t>，与</w:t>
      </w:r>
      <w:r>
        <w:rPr>
          <w:rFonts w:hint="eastAsia"/>
        </w:rPr>
        <w:t>深证成指</w:t>
      </w:r>
      <w:r w:rsidRPr="00BF44E5">
        <w:rPr>
          <w:rFonts w:hint="eastAsia"/>
        </w:rPr>
        <w:t>的相关性最低，为</w:t>
      </w:r>
      <w:r w:rsidRPr="00BF44E5">
        <w:rPr>
          <w:rFonts w:hint="eastAsia"/>
        </w:rPr>
        <w:t>0.</w:t>
      </w:r>
      <w:r>
        <w:rPr>
          <w:rFonts w:hint="eastAsia"/>
        </w:rPr>
        <w:t>9666</w:t>
      </w:r>
      <w:r w:rsidRPr="00BF44E5">
        <w:rPr>
          <w:rFonts w:hint="eastAsia"/>
        </w:rPr>
        <w:t>。</w:t>
      </w:r>
      <w:r>
        <w:rPr>
          <w:rFonts w:hint="eastAsia"/>
        </w:rPr>
        <w:t>整体来看，本月</w:t>
      </w:r>
      <w:r w:rsidRPr="00BF44E5">
        <w:rPr>
          <w:rFonts w:hint="eastAsia"/>
        </w:rPr>
        <w:t>SBL52</w:t>
      </w:r>
      <w:r w:rsidRPr="00DB1144">
        <w:rPr>
          <w:rFonts w:hint="eastAsia"/>
        </w:rPr>
        <w:t>中国民企</w:t>
      </w:r>
      <w:r>
        <w:rPr>
          <w:rFonts w:hint="eastAsia"/>
        </w:rPr>
        <w:t>成指与其他几个指数的相关性都很高。</w:t>
      </w:r>
    </w:p>
    <w:p w:rsidR="005714B6" w:rsidRPr="002F751A" w:rsidRDefault="005714B6" w:rsidP="005714B6">
      <w:pPr>
        <w:spacing w:beforeLines="50"/>
        <w:ind w:firstLineChars="200" w:firstLine="422"/>
        <w:jc w:val="center"/>
        <w:rPr>
          <w:b/>
        </w:rPr>
      </w:pPr>
      <w:r w:rsidRPr="002F751A">
        <w:rPr>
          <w:rFonts w:hint="eastAsia"/>
          <w:b/>
        </w:rPr>
        <w:t>图表</w:t>
      </w:r>
      <w:r>
        <w:rPr>
          <w:rFonts w:hint="eastAsia"/>
          <w:b/>
        </w:rPr>
        <w:t>11</w:t>
      </w:r>
      <w:r w:rsidRPr="002F751A">
        <w:rPr>
          <w:rFonts w:hint="eastAsia"/>
          <w:b/>
        </w:rPr>
        <w:t>：</w:t>
      </w:r>
      <w:r w:rsidRPr="002F751A">
        <w:rPr>
          <w:b/>
        </w:rPr>
        <w:t>201</w:t>
      </w:r>
      <w:r w:rsidRPr="002F751A">
        <w:rPr>
          <w:rFonts w:hint="eastAsia"/>
          <w:b/>
        </w:rPr>
        <w:t>5</w:t>
      </w:r>
      <w:r w:rsidRPr="002F751A">
        <w:rPr>
          <w:b/>
        </w:rPr>
        <w:t>年月</w:t>
      </w:r>
      <w:r w:rsidRPr="002F751A">
        <w:rPr>
          <w:rFonts w:hint="eastAsia"/>
          <w:b/>
        </w:rPr>
        <w:t>6</w:t>
      </w:r>
      <w:r w:rsidRPr="002F751A">
        <w:rPr>
          <w:b/>
        </w:rPr>
        <w:t>各指数相关系数</w:t>
      </w:r>
    </w:p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12"/>
        <w:gridCol w:w="1238"/>
        <w:gridCol w:w="1268"/>
        <w:gridCol w:w="1074"/>
        <w:gridCol w:w="1074"/>
        <w:gridCol w:w="1074"/>
        <w:gridCol w:w="1312"/>
      </w:tblGrid>
      <w:tr w:rsidR="005714B6" w:rsidTr="00A55B55">
        <w:trPr>
          <w:trHeight w:val="285"/>
        </w:trPr>
        <w:tc>
          <w:tcPr>
            <w:tcW w:w="1312" w:type="dxa"/>
            <w:tcBorders>
              <w:top w:val="single" w:sz="8" w:space="0" w:color="000000"/>
              <w:bottom w:val="single" w:sz="4" w:space="0" w:color="000000"/>
            </w:tcBorders>
            <w:shd w:val="solid" w:color="C0C0C0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4" w:space="0" w:color="000000"/>
            </w:tcBorders>
            <w:shd w:val="solid" w:color="C0C0C0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民企成指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4" w:space="0" w:color="000000"/>
            </w:tcBorders>
            <w:shd w:val="solid" w:color="C0C0C0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上证综指</w:t>
            </w:r>
          </w:p>
        </w:tc>
        <w:tc>
          <w:tcPr>
            <w:tcW w:w="1074" w:type="dxa"/>
            <w:tcBorders>
              <w:top w:val="single" w:sz="8" w:space="0" w:color="000000"/>
              <w:bottom w:val="single" w:sz="4" w:space="0" w:color="000000"/>
            </w:tcBorders>
            <w:shd w:val="solid" w:color="C0C0C0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深证成指</w:t>
            </w:r>
          </w:p>
        </w:tc>
        <w:tc>
          <w:tcPr>
            <w:tcW w:w="1074" w:type="dxa"/>
            <w:tcBorders>
              <w:top w:val="single" w:sz="8" w:space="0" w:color="000000"/>
              <w:bottom w:val="single" w:sz="4" w:space="0" w:color="000000"/>
            </w:tcBorders>
            <w:shd w:val="solid" w:color="C0C0C0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民企200</w:t>
            </w:r>
          </w:p>
        </w:tc>
        <w:tc>
          <w:tcPr>
            <w:tcW w:w="1074" w:type="dxa"/>
            <w:tcBorders>
              <w:top w:val="single" w:sz="8" w:space="0" w:color="000000"/>
              <w:bottom w:val="single" w:sz="4" w:space="0" w:color="000000"/>
            </w:tcBorders>
            <w:shd w:val="solid" w:color="C0C0C0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深证民营</w:t>
            </w:r>
          </w:p>
        </w:tc>
        <w:tc>
          <w:tcPr>
            <w:tcW w:w="1312" w:type="dxa"/>
            <w:tcBorders>
              <w:top w:val="single" w:sz="8" w:space="0" w:color="000000"/>
              <w:bottom w:val="single" w:sz="4" w:space="0" w:color="000000"/>
            </w:tcBorders>
            <w:shd w:val="solid" w:color="C0C0C0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沪深300</w:t>
            </w:r>
          </w:p>
        </w:tc>
      </w:tr>
      <w:tr w:rsidR="005714B6" w:rsidTr="00A55B55">
        <w:trPr>
          <w:trHeight w:val="405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99CCFF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民企成指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solid" w:color="99CC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1.0000 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  <w:shd w:val="solid" w:color="99CC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0.9687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99CC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0.9666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99CC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0.9756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99CC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0.9773 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99CC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0.9802 </w:t>
            </w:r>
          </w:p>
        </w:tc>
      </w:tr>
      <w:tr w:rsidR="005714B6" w:rsidTr="00A55B55">
        <w:trPr>
          <w:trHeight w:val="360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上证综指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0.9687 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1.0000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0.9807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0.9843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0.9957 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0.9674 </w:t>
            </w:r>
          </w:p>
        </w:tc>
      </w:tr>
      <w:tr w:rsidR="005714B6" w:rsidTr="00A55B55">
        <w:trPr>
          <w:trHeight w:val="360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深证成指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0.9666 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0.9807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1.0000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0.9978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0.9938 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0.9808 </w:t>
            </w:r>
          </w:p>
        </w:tc>
      </w:tr>
      <w:tr w:rsidR="005714B6" w:rsidTr="00A55B55">
        <w:trPr>
          <w:trHeight w:val="285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民企200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0.9756 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0.9843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0.9978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1.0000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0.9942 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0.9846 </w:t>
            </w:r>
          </w:p>
        </w:tc>
      </w:tr>
      <w:tr w:rsidR="005714B6" w:rsidTr="00A55B55">
        <w:trPr>
          <w:trHeight w:val="330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深证民营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0.9773 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0.9957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0.9938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0.9942 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1.0000 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0.9758 </w:t>
            </w:r>
          </w:p>
        </w:tc>
      </w:tr>
      <w:tr w:rsidR="005714B6" w:rsidTr="00A55B55">
        <w:trPr>
          <w:trHeight w:val="375"/>
        </w:trPr>
        <w:tc>
          <w:tcPr>
            <w:tcW w:w="1312" w:type="dxa"/>
            <w:tcBorders>
              <w:bottom w:val="single" w:sz="8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沪深300</w:t>
            </w:r>
          </w:p>
        </w:tc>
        <w:tc>
          <w:tcPr>
            <w:tcW w:w="1238" w:type="dxa"/>
            <w:tcBorders>
              <w:bottom w:val="single" w:sz="8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0.9802 </w:t>
            </w:r>
          </w:p>
        </w:tc>
        <w:tc>
          <w:tcPr>
            <w:tcW w:w="1268" w:type="dxa"/>
            <w:tcBorders>
              <w:bottom w:val="single" w:sz="8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0.9674 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0.9808 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0.9846 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0.9758 </w:t>
            </w:r>
          </w:p>
        </w:tc>
        <w:tc>
          <w:tcPr>
            <w:tcW w:w="1312" w:type="dxa"/>
            <w:tcBorders>
              <w:bottom w:val="single" w:sz="8" w:space="0" w:color="000000"/>
            </w:tcBorders>
            <w:shd w:val="solid" w:color="FFFFFF" w:fill="auto"/>
            <w:vAlign w:val="bottom"/>
          </w:tcPr>
          <w:p w:rsidR="005714B6" w:rsidRPr="009D17B8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1.0000 </w:t>
            </w:r>
          </w:p>
        </w:tc>
      </w:tr>
    </w:tbl>
    <w:p w:rsidR="005714B6" w:rsidRDefault="005714B6" w:rsidP="005714B6">
      <w:pPr>
        <w:spacing w:beforeLines="50" w:afterLines="50"/>
        <w:ind w:firstLineChars="200" w:firstLine="422"/>
        <w:rPr>
          <w:rFonts w:asciiTheme="minorEastAsia" w:hAnsiTheme="minorEastAsia"/>
          <w:b/>
          <w:szCs w:val="21"/>
        </w:rPr>
      </w:pPr>
      <w:bookmarkStart w:id="3" w:name="_Toc424829046"/>
    </w:p>
    <w:p w:rsidR="005714B6" w:rsidRPr="00F91B77" w:rsidRDefault="005714B6" w:rsidP="005714B6">
      <w:pPr>
        <w:spacing w:beforeLines="50" w:afterLines="50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4</w:t>
      </w:r>
      <w:r w:rsidRPr="00F91B77">
        <w:rPr>
          <w:rFonts w:asciiTheme="minorEastAsia" w:hAnsiTheme="minorEastAsia" w:hint="eastAsia"/>
          <w:b/>
          <w:szCs w:val="21"/>
        </w:rPr>
        <w:t>.风险收益特征分析</w:t>
      </w:r>
      <w:bookmarkEnd w:id="3"/>
    </w:p>
    <w:p w:rsidR="005714B6" w:rsidRPr="001B7F54" w:rsidRDefault="005714B6" w:rsidP="005714B6">
      <w:pPr>
        <w:ind w:firstLineChars="200" w:firstLine="420"/>
      </w:pPr>
      <w:r>
        <w:rPr>
          <w:rFonts w:hint="eastAsia"/>
        </w:rPr>
        <w:t>风险收益特征是衡量一个指数化投资优劣性的最为重要的方面，下面我们通过各指数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月份的</w:t>
      </w:r>
      <w:r>
        <w:rPr>
          <w:rFonts w:hint="eastAsia"/>
        </w:rPr>
        <w:t>21</w:t>
      </w:r>
      <w:r>
        <w:rPr>
          <w:rFonts w:hint="eastAsia"/>
        </w:rPr>
        <w:t>个日回报率样本数据来计算的平均回报率、波动率、β系数、夏普指数、詹森指数评价指标。计算中涉及的无风险利率取样本时段区间内一年期存款利率——</w:t>
      </w:r>
      <w:r>
        <w:rPr>
          <w:rFonts w:hint="eastAsia"/>
        </w:rPr>
        <w:t>2.25%</w:t>
      </w:r>
      <w:r>
        <w:rPr>
          <w:rFonts w:hint="eastAsia"/>
        </w:rPr>
        <w:t>（一年整存整取）折算成日利率。计算β系数的基准指数为沪深</w:t>
      </w:r>
      <w:r>
        <w:rPr>
          <w:rFonts w:hint="eastAsia"/>
        </w:rPr>
        <w:t>300</w:t>
      </w:r>
      <w:r>
        <w:rPr>
          <w:rFonts w:hint="eastAsia"/>
        </w:rPr>
        <w:t>指数。结果如下表所示：</w:t>
      </w:r>
    </w:p>
    <w:tbl>
      <w:tblPr>
        <w:tblW w:w="7916" w:type="dxa"/>
        <w:tblInd w:w="108" w:type="dxa"/>
        <w:tblLook w:val="0000"/>
      </w:tblPr>
      <w:tblGrid>
        <w:gridCol w:w="1354"/>
        <w:gridCol w:w="1096"/>
        <w:gridCol w:w="1096"/>
        <w:gridCol w:w="1096"/>
        <w:gridCol w:w="1092"/>
        <w:gridCol w:w="1096"/>
        <w:gridCol w:w="1086"/>
      </w:tblGrid>
      <w:tr w:rsidR="005714B6" w:rsidRPr="00532D79" w:rsidTr="00A55B55">
        <w:trPr>
          <w:trHeight w:val="270"/>
        </w:trPr>
        <w:tc>
          <w:tcPr>
            <w:tcW w:w="79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714B6" w:rsidRPr="00532D79" w:rsidRDefault="005714B6" w:rsidP="00A55B55">
            <w:pPr>
              <w:spacing w:beforeLines="50"/>
              <w:ind w:firstLineChars="200" w:firstLine="422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F751A">
              <w:rPr>
                <w:rFonts w:hint="eastAsia"/>
                <w:b/>
              </w:rPr>
              <w:lastRenderedPageBreak/>
              <w:t>图表</w:t>
            </w:r>
            <w:r>
              <w:rPr>
                <w:rFonts w:hint="eastAsia"/>
                <w:b/>
              </w:rPr>
              <w:t>12</w:t>
            </w:r>
            <w:r w:rsidRPr="002F751A">
              <w:rPr>
                <w:rFonts w:hint="eastAsia"/>
                <w:b/>
              </w:rPr>
              <w:t>：</w:t>
            </w:r>
            <w:r w:rsidRPr="002F751A">
              <w:rPr>
                <w:rFonts w:hint="eastAsia"/>
                <w:b/>
              </w:rPr>
              <w:t>2015</w:t>
            </w:r>
            <w:r w:rsidRPr="002F751A">
              <w:rPr>
                <w:rFonts w:hint="eastAsia"/>
                <w:b/>
              </w:rPr>
              <w:t>年</w:t>
            </w:r>
            <w:r w:rsidRPr="002F751A">
              <w:rPr>
                <w:rFonts w:hint="eastAsia"/>
                <w:b/>
              </w:rPr>
              <w:t>6</w:t>
            </w:r>
            <w:r w:rsidRPr="002F751A">
              <w:rPr>
                <w:rFonts w:hint="eastAsia"/>
                <w:b/>
              </w:rPr>
              <w:t>月各指数风险收益特征</w:t>
            </w:r>
          </w:p>
        </w:tc>
      </w:tr>
      <w:tr w:rsidR="005714B6" w:rsidRPr="00532D79" w:rsidTr="00A55B55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14B6" w:rsidRPr="00433495" w:rsidRDefault="005714B6" w:rsidP="00A55B5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民企成指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上证综指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深证成指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民企200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深证民营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沪深300</w:t>
            </w:r>
          </w:p>
        </w:tc>
      </w:tr>
      <w:tr w:rsidR="005714B6" w:rsidRPr="00532D79" w:rsidTr="00A55B55">
        <w:trPr>
          <w:trHeight w:val="345"/>
        </w:trPr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>平均回报率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-0.004980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-0.003417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-0.005256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-0.005652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-0.007635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-0.003586 </w:t>
            </w:r>
          </w:p>
        </w:tc>
      </w:tr>
      <w:tr w:rsidR="005714B6" w:rsidRPr="00532D79" w:rsidTr="00A55B55">
        <w:trPr>
          <w:trHeight w:val="315"/>
        </w:trPr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>波动率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>101.1172%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>90.2231%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>101.0921%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>110.6503%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>123.6137%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>92.1794%</w:t>
            </w:r>
          </w:p>
        </w:tc>
      </w:tr>
      <w:tr w:rsidR="005714B6" w:rsidRPr="00532D79" w:rsidTr="00A55B55">
        <w:trPr>
          <w:trHeight w:val="330"/>
        </w:trPr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>贝塔系数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1.027353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0.986769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1.107222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1.193658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1.336523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1.000000 </w:t>
            </w:r>
          </w:p>
        </w:tc>
      </w:tr>
      <w:tr w:rsidR="005714B6" w:rsidRPr="00532D79" w:rsidTr="00A55B55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>夏普指数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-0.078839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-0.060965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-0.083173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-0.081644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-0.098451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-0.062565 </w:t>
            </w:r>
          </w:p>
        </w:tc>
      </w:tr>
      <w:tr w:rsidR="005714B6" w:rsidRPr="00532D79" w:rsidTr="00A55B55">
        <w:trPr>
          <w:trHeight w:val="345"/>
        </w:trPr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>詹森指数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-0.001295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0.000120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-0.001279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-0.001360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-0.002822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714B6" w:rsidRPr="00433495" w:rsidRDefault="005714B6" w:rsidP="00A55B55">
            <w:pPr>
              <w:jc w:val="right"/>
              <w:rPr>
                <w:rFonts w:asciiTheme="minorEastAsia" w:hAnsiTheme="minorEastAsia" w:cs="宋体"/>
                <w:sz w:val="18"/>
                <w:szCs w:val="18"/>
              </w:rPr>
            </w:pPr>
            <w:r w:rsidRPr="00433495">
              <w:rPr>
                <w:rFonts w:asciiTheme="minorEastAsia" w:hAnsiTheme="minorEastAsia" w:hint="eastAsia"/>
                <w:sz w:val="18"/>
                <w:szCs w:val="18"/>
              </w:rPr>
              <w:t xml:space="preserve">0.000000 </w:t>
            </w:r>
          </w:p>
        </w:tc>
      </w:tr>
    </w:tbl>
    <w:p w:rsidR="005714B6" w:rsidRDefault="005714B6" w:rsidP="005714B6"/>
    <w:p w:rsidR="005714B6" w:rsidRDefault="005714B6" w:rsidP="005714B6">
      <w:pPr>
        <w:ind w:firstLine="435"/>
      </w:pPr>
      <w:r>
        <w:rPr>
          <w:rFonts w:hint="eastAsia"/>
          <w:szCs w:val="18"/>
        </w:rPr>
        <w:t>从上表中，可以看到：</w:t>
      </w:r>
      <w:r>
        <w:rPr>
          <w:rFonts w:hint="eastAsia"/>
          <w:szCs w:val="18"/>
        </w:rPr>
        <w:t>6</w:t>
      </w:r>
      <w:r>
        <w:rPr>
          <w:rFonts w:hint="eastAsia"/>
          <w:szCs w:val="18"/>
        </w:rPr>
        <w:t>月份</w:t>
      </w:r>
      <w:r w:rsidRPr="00DB1144">
        <w:rPr>
          <w:rFonts w:hint="eastAsia"/>
        </w:rPr>
        <w:t>SBL52</w:t>
      </w:r>
      <w:r w:rsidRPr="00DB1144">
        <w:rPr>
          <w:rFonts w:hint="eastAsia"/>
        </w:rPr>
        <w:t>中国民企成指</w:t>
      </w:r>
      <w:r>
        <w:rPr>
          <w:rFonts w:hint="eastAsia"/>
        </w:rPr>
        <w:t>的波动率要明显小于中证</w:t>
      </w:r>
      <w:r>
        <w:rPr>
          <w:rFonts w:hint="eastAsia"/>
          <w:szCs w:val="18"/>
        </w:rPr>
        <w:t>民企</w:t>
      </w:r>
      <w:r>
        <w:rPr>
          <w:rFonts w:hint="eastAsia"/>
          <w:szCs w:val="18"/>
        </w:rPr>
        <w:t>200</w:t>
      </w:r>
      <w:r>
        <w:rPr>
          <w:rFonts w:hint="eastAsia"/>
          <w:szCs w:val="18"/>
        </w:rPr>
        <w:t>、深证民营这两个同类指数，表现相对稳定，这一点儿在β系数和詹森指数上也得到了验证：</w:t>
      </w:r>
      <w:r>
        <w:rPr>
          <w:rFonts w:hint="eastAsia"/>
        </w:rPr>
        <w:t>中证</w:t>
      </w:r>
      <w:r>
        <w:rPr>
          <w:rFonts w:hint="eastAsia"/>
          <w:szCs w:val="18"/>
        </w:rPr>
        <w:t>民企</w:t>
      </w:r>
      <w:r>
        <w:rPr>
          <w:rFonts w:hint="eastAsia"/>
          <w:szCs w:val="18"/>
        </w:rPr>
        <w:t>200</w:t>
      </w:r>
      <w:r>
        <w:rPr>
          <w:rFonts w:hint="eastAsia"/>
          <w:szCs w:val="18"/>
        </w:rPr>
        <w:t>、深证民营这两个同类指数的β系数显著高于</w:t>
      </w:r>
      <w:r w:rsidRPr="00DB1144">
        <w:rPr>
          <w:rFonts w:hint="eastAsia"/>
        </w:rPr>
        <w:t>SBL52</w:t>
      </w:r>
      <w:r w:rsidRPr="00DB1144">
        <w:rPr>
          <w:rFonts w:hint="eastAsia"/>
        </w:rPr>
        <w:t>中国民企成指</w:t>
      </w:r>
      <w:r>
        <w:rPr>
          <w:rFonts w:hint="eastAsia"/>
        </w:rPr>
        <w:t>；</w:t>
      </w:r>
      <w:r>
        <w:rPr>
          <w:rFonts w:hint="eastAsia"/>
          <w:szCs w:val="18"/>
        </w:rPr>
        <w:t>深证民营和</w:t>
      </w:r>
      <w:r>
        <w:rPr>
          <w:rFonts w:hint="eastAsia"/>
        </w:rPr>
        <w:t>中证</w:t>
      </w:r>
      <w:r>
        <w:rPr>
          <w:rFonts w:hint="eastAsia"/>
          <w:szCs w:val="18"/>
        </w:rPr>
        <w:t>民企</w:t>
      </w:r>
      <w:r>
        <w:rPr>
          <w:rFonts w:hint="eastAsia"/>
          <w:szCs w:val="18"/>
        </w:rPr>
        <w:t>200</w:t>
      </w:r>
      <w:r>
        <w:rPr>
          <w:rFonts w:hint="eastAsia"/>
          <w:szCs w:val="18"/>
        </w:rPr>
        <w:t>的詹森指数均为负数，且小于</w:t>
      </w:r>
      <w:r w:rsidRPr="00DB1144">
        <w:rPr>
          <w:rFonts w:hint="eastAsia"/>
        </w:rPr>
        <w:t>SBL52</w:t>
      </w:r>
      <w:r w:rsidRPr="00DB1144">
        <w:rPr>
          <w:rFonts w:hint="eastAsia"/>
        </w:rPr>
        <w:t>中国民企成指</w:t>
      </w:r>
      <w:r>
        <w:rPr>
          <w:rFonts w:hint="eastAsia"/>
          <w:szCs w:val="18"/>
        </w:rPr>
        <w:t>的詹森指数</w:t>
      </w:r>
      <w:r>
        <w:rPr>
          <w:rFonts w:hint="eastAsia"/>
        </w:rPr>
        <w:t>。</w:t>
      </w:r>
    </w:p>
    <w:p w:rsidR="005714B6" w:rsidRPr="00F91B77" w:rsidRDefault="005714B6" w:rsidP="005714B6">
      <w:pPr>
        <w:ind w:firstLine="435"/>
      </w:pPr>
      <w:r>
        <w:rPr>
          <w:rFonts w:hint="eastAsia"/>
        </w:rPr>
        <w:t>另外，从收益率的角度来看，</w:t>
      </w:r>
      <w:r w:rsidRPr="00DB1144">
        <w:rPr>
          <w:rFonts w:hint="eastAsia"/>
        </w:rPr>
        <w:t>SBL52</w:t>
      </w:r>
      <w:r w:rsidRPr="00DB1144">
        <w:rPr>
          <w:rFonts w:hint="eastAsia"/>
        </w:rPr>
        <w:t>中国民企成指</w:t>
      </w:r>
      <w:r>
        <w:rPr>
          <w:rFonts w:hint="eastAsia"/>
        </w:rPr>
        <w:t>的夏普指数也较中证</w:t>
      </w:r>
      <w:r>
        <w:rPr>
          <w:rFonts w:hint="eastAsia"/>
          <w:szCs w:val="18"/>
        </w:rPr>
        <w:t>民企</w:t>
      </w:r>
      <w:r>
        <w:rPr>
          <w:rFonts w:hint="eastAsia"/>
          <w:szCs w:val="18"/>
        </w:rPr>
        <w:t>200</w:t>
      </w:r>
      <w:r>
        <w:rPr>
          <w:rFonts w:hint="eastAsia"/>
          <w:szCs w:val="18"/>
        </w:rPr>
        <w:t>、深证民营这两个同类指数要好。</w:t>
      </w:r>
    </w:p>
    <w:p w:rsidR="00B674F1" w:rsidRDefault="00B674F1"/>
    <w:sectPr w:rsidR="00B67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F1" w:rsidRDefault="00B674F1" w:rsidP="005714B6">
      <w:r>
        <w:separator/>
      </w:r>
    </w:p>
  </w:endnote>
  <w:endnote w:type="continuationSeparator" w:id="1">
    <w:p w:rsidR="00B674F1" w:rsidRDefault="00B674F1" w:rsidP="0057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F1" w:rsidRDefault="00B674F1" w:rsidP="005714B6">
      <w:r>
        <w:separator/>
      </w:r>
    </w:p>
  </w:footnote>
  <w:footnote w:type="continuationSeparator" w:id="1">
    <w:p w:rsidR="00B674F1" w:rsidRDefault="00B674F1" w:rsidP="00571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4B6"/>
    <w:rsid w:val="005714B6"/>
    <w:rsid w:val="00B6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4B6"/>
    <w:rPr>
      <w:sz w:val="18"/>
      <w:szCs w:val="18"/>
    </w:rPr>
  </w:style>
  <w:style w:type="table" w:styleId="a5">
    <w:name w:val="Table Grid"/>
    <w:basedOn w:val="a1"/>
    <w:uiPriority w:val="59"/>
    <w:rsid w:val="00571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714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14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0854;&#20182;\&#25237;&#36164;&#36890;&#35759;\EXCEL\&#26032;&#24314;%20Microsoft%20Office%20Excel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0854;&#20182;\&#25237;&#36164;&#36890;&#35759;\EXCEL\&#26032;&#24314;%20Microsoft%20Office%20Excel%20&#24037;&#20316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0854;&#20182;\&#25237;&#36164;&#36890;&#35759;\&#34892;&#19994;&#27604;&#3732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市场表现!$B$2</c:f>
              <c:strCache>
                <c:ptCount val="1"/>
                <c:pt idx="0">
                  <c:v>上证综指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市场表现!$A$3:$A$23</c:f>
              <c:numCache>
                <c:formatCode>m"月"d"日";@</c:formatCode>
                <c:ptCount val="21"/>
                <c:pt idx="0">
                  <c:v>42156</c:v>
                </c:pt>
                <c:pt idx="1">
                  <c:v>42157</c:v>
                </c:pt>
                <c:pt idx="2">
                  <c:v>42158</c:v>
                </c:pt>
                <c:pt idx="3">
                  <c:v>42159</c:v>
                </c:pt>
                <c:pt idx="4">
                  <c:v>42160</c:v>
                </c:pt>
                <c:pt idx="5">
                  <c:v>42163</c:v>
                </c:pt>
                <c:pt idx="6">
                  <c:v>42164</c:v>
                </c:pt>
                <c:pt idx="7">
                  <c:v>42165</c:v>
                </c:pt>
                <c:pt idx="8">
                  <c:v>42166</c:v>
                </c:pt>
                <c:pt idx="9">
                  <c:v>42167</c:v>
                </c:pt>
                <c:pt idx="10">
                  <c:v>42170</c:v>
                </c:pt>
                <c:pt idx="11">
                  <c:v>42171</c:v>
                </c:pt>
                <c:pt idx="12">
                  <c:v>42172</c:v>
                </c:pt>
                <c:pt idx="13">
                  <c:v>42173</c:v>
                </c:pt>
                <c:pt idx="14">
                  <c:v>42174</c:v>
                </c:pt>
                <c:pt idx="15">
                  <c:v>42178</c:v>
                </c:pt>
                <c:pt idx="16">
                  <c:v>42179</c:v>
                </c:pt>
                <c:pt idx="17">
                  <c:v>42180</c:v>
                </c:pt>
                <c:pt idx="18">
                  <c:v>42181</c:v>
                </c:pt>
                <c:pt idx="19">
                  <c:v>42184</c:v>
                </c:pt>
                <c:pt idx="20">
                  <c:v>42185</c:v>
                </c:pt>
              </c:numCache>
            </c:numRef>
          </c:cat>
          <c:val>
            <c:numRef>
              <c:f>市场表现!$B$3:$B$23</c:f>
              <c:numCache>
                <c:formatCode>0.00%</c:formatCode>
                <c:ptCount val="21"/>
                <c:pt idx="0">
                  <c:v>4.7100000000000003E-2</c:v>
                </c:pt>
                <c:pt idx="1">
                  <c:v>1.6899999999999998E-2</c:v>
                </c:pt>
                <c:pt idx="2">
                  <c:v>-1.0000000000000026E-4</c:v>
                </c:pt>
                <c:pt idx="3">
                  <c:v>7.6000000000000095E-3</c:v>
                </c:pt>
                <c:pt idx="4">
                  <c:v>1.5400000000000021E-2</c:v>
                </c:pt>
                <c:pt idx="5">
                  <c:v>2.1700000000000001E-2</c:v>
                </c:pt>
                <c:pt idx="6">
                  <c:v>-3.6000000000000077E-3</c:v>
                </c:pt>
                <c:pt idx="7">
                  <c:v>-1.5000000000000026E-3</c:v>
                </c:pt>
                <c:pt idx="8">
                  <c:v>3.0000000000000053E-3</c:v>
                </c:pt>
                <c:pt idx="9">
                  <c:v>8.7000000000000046E-3</c:v>
                </c:pt>
                <c:pt idx="10">
                  <c:v>-2.0000000000000011E-2</c:v>
                </c:pt>
                <c:pt idx="11">
                  <c:v>-3.4700000000000002E-2</c:v>
                </c:pt>
                <c:pt idx="12">
                  <c:v>1.6500000000000039E-2</c:v>
                </c:pt>
                <c:pt idx="13">
                  <c:v>-3.670000000000001E-2</c:v>
                </c:pt>
                <c:pt idx="14">
                  <c:v>-6.4199999999999993E-2</c:v>
                </c:pt>
                <c:pt idx="15">
                  <c:v>2.1900000000000006E-2</c:v>
                </c:pt>
                <c:pt idx="16">
                  <c:v>2.4799999999999999E-2</c:v>
                </c:pt>
                <c:pt idx="17">
                  <c:v>-3.4599999999999999E-2</c:v>
                </c:pt>
                <c:pt idx="18">
                  <c:v>-7.3999999999999996E-2</c:v>
                </c:pt>
                <c:pt idx="19">
                  <c:v>-3.3399999999999999E-2</c:v>
                </c:pt>
                <c:pt idx="20">
                  <c:v>5.5300000000000099E-2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市场表现!$C$2</c:f>
              <c:strCache>
                <c:ptCount val="1"/>
                <c:pt idx="0">
                  <c:v>沪深300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市场表现!$A$3:$A$23</c:f>
              <c:numCache>
                <c:formatCode>m"月"d"日";@</c:formatCode>
                <c:ptCount val="21"/>
                <c:pt idx="0">
                  <c:v>42156</c:v>
                </c:pt>
                <c:pt idx="1">
                  <c:v>42157</c:v>
                </c:pt>
                <c:pt idx="2">
                  <c:v>42158</c:v>
                </c:pt>
                <c:pt idx="3">
                  <c:v>42159</c:v>
                </c:pt>
                <c:pt idx="4">
                  <c:v>42160</c:v>
                </c:pt>
                <c:pt idx="5">
                  <c:v>42163</c:v>
                </c:pt>
                <c:pt idx="6">
                  <c:v>42164</c:v>
                </c:pt>
                <c:pt idx="7">
                  <c:v>42165</c:v>
                </c:pt>
                <c:pt idx="8">
                  <c:v>42166</c:v>
                </c:pt>
                <c:pt idx="9">
                  <c:v>42167</c:v>
                </c:pt>
                <c:pt idx="10">
                  <c:v>42170</c:v>
                </c:pt>
                <c:pt idx="11">
                  <c:v>42171</c:v>
                </c:pt>
                <c:pt idx="12">
                  <c:v>42172</c:v>
                </c:pt>
                <c:pt idx="13">
                  <c:v>42173</c:v>
                </c:pt>
                <c:pt idx="14">
                  <c:v>42174</c:v>
                </c:pt>
                <c:pt idx="15">
                  <c:v>42178</c:v>
                </c:pt>
                <c:pt idx="16">
                  <c:v>42179</c:v>
                </c:pt>
                <c:pt idx="17">
                  <c:v>42180</c:v>
                </c:pt>
                <c:pt idx="18">
                  <c:v>42181</c:v>
                </c:pt>
                <c:pt idx="19">
                  <c:v>42184</c:v>
                </c:pt>
                <c:pt idx="20">
                  <c:v>42185</c:v>
                </c:pt>
              </c:numCache>
            </c:numRef>
          </c:cat>
          <c:val>
            <c:numRef>
              <c:f>市场表现!$C$3:$C$23</c:f>
              <c:numCache>
                <c:formatCode>0.00%</c:formatCode>
                <c:ptCount val="21"/>
                <c:pt idx="0">
                  <c:v>4.8599999999999997E-2</c:v>
                </c:pt>
                <c:pt idx="1">
                  <c:v>1.6899999999999998E-2</c:v>
                </c:pt>
                <c:pt idx="2">
                  <c:v>-3.5000000000000053E-3</c:v>
                </c:pt>
                <c:pt idx="3">
                  <c:v>7.4000000000000177E-3</c:v>
                </c:pt>
                <c:pt idx="4">
                  <c:v>9.5000000000000067E-3</c:v>
                </c:pt>
                <c:pt idx="5">
                  <c:v>2.3599999999999993E-2</c:v>
                </c:pt>
                <c:pt idx="6">
                  <c:v>-6.8000000000000118E-3</c:v>
                </c:pt>
                <c:pt idx="7">
                  <c:v>-1.6000000000000038E-3</c:v>
                </c:pt>
                <c:pt idx="8">
                  <c:v>-5.0000000000000034E-4</c:v>
                </c:pt>
                <c:pt idx="9">
                  <c:v>5.4000000000000107E-3</c:v>
                </c:pt>
                <c:pt idx="10">
                  <c:v>-2.1399999999999999E-2</c:v>
                </c:pt>
                <c:pt idx="11">
                  <c:v>-2.9899999999999999E-2</c:v>
                </c:pt>
                <c:pt idx="12">
                  <c:v>1.4600000000000005E-2</c:v>
                </c:pt>
                <c:pt idx="13">
                  <c:v>-4.0500000000000001E-2</c:v>
                </c:pt>
                <c:pt idx="14">
                  <c:v>-5.9500000000000032E-2</c:v>
                </c:pt>
                <c:pt idx="15">
                  <c:v>3.210000000000001E-2</c:v>
                </c:pt>
                <c:pt idx="16">
                  <c:v>1.9599999999999999E-2</c:v>
                </c:pt>
                <c:pt idx="17">
                  <c:v>-3.5600000000000041E-2</c:v>
                </c:pt>
                <c:pt idx="18">
                  <c:v>-7.8700000000000034E-2</c:v>
                </c:pt>
                <c:pt idx="19">
                  <c:v>-3.3399999999999999E-2</c:v>
                </c:pt>
                <c:pt idx="20">
                  <c:v>6.7100000000000021E-2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市场表现!$D$2</c:f>
              <c:strCache>
                <c:ptCount val="1"/>
                <c:pt idx="0">
                  <c:v>深证成指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市场表现!$A$3:$A$23</c:f>
              <c:numCache>
                <c:formatCode>m"月"d"日";@</c:formatCode>
                <c:ptCount val="21"/>
                <c:pt idx="0">
                  <c:v>42156</c:v>
                </c:pt>
                <c:pt idx="1">
                  <c:v>42157</c:v>
                </c:pt>
                <c:pt idx="2">
                  <c:v>42158</c:v>
                </c:pt>
                <c:pt idx="3">
                  <c:v>42159</c:v>
                </c:pt>
                <c:pt idx="4">
                  <c:v>42160</c:v>
                </c:pt>
                <c:pt idx="5">
                  <c:v>42163</c:v>
                </c:pt>
                <c:pt idx="6">
                  <c:v>42164</c:v>
                </c:pt>
                <c:pt idx="7">
                  <c:v>42165</c:v>
                </c:pt>
                <c:pt idx="8">
                  <c:v>42166</c:v>
                </c:pt>
                <c:pt idx="9">
                  <c:v>42167</c:v>
                </c:pt>
                <c:pt idx="10">
                  <c:v>42170</c:v>
                </c:pt>
                <c:pt idx="11">
                  <c:v>42171</c:v>
                </c:pt>
                <c:pt idx="12">
                  <c:v>42172</c:v>
                </c:pt>
                <c:pt idx="13">
                  <c:v>42173</c:v>
                </c:pt>
                <c:pt idx="14">
                  <c:v>42174</c:v>
                </c:pt>
                <c:pt idx="15">
                  <c:v>42178</c:v>
                </c:pt>
                <c:pt idx="16">
                  <c:v>42179</c:v>
                </c:pt>
                <c:pt idx="17">
                  <c:v>42180</c:v>
                </c:pt>
                <c:pt idx="18">
                  <c:v>42181</c:v>
                </c:pt>
                <c:pt idx="19">
                  <c:v>42184</c:v>
                </c:pt>
                <c:pt idx="20">
                  <c:v>42185</c:v>
                </c:pt>
              </c:numCache>
            </c:numRef>
          </c:cat>
          <c:val>
            <c:numRef>
              <c:f>市场表现!$D$3:$D$23</c:f>
              <c:numCache>
                <c:formatCode>0.00%</c:formatCode>
                <c:ptCount val="21"/>
                <c:pt idx="0">
                  <c:v>5.0700000000000023E-2</c:v>
                </c:pt>
                <c:pt idx="1">
                  <c:v>3.3599999999999998E-2</c:v>
                </c:pt>
                <c:pt idx="2">
                  <c:v>3.0000000000000053E-3</c:v>
                </c:pt>
                <c:pt idx="3">
                  <c:v>-2.0999999999999999E-3</c:v>
                </c:pt>
                <c:pt idx="4">
                  <c:v>8.5000000000000006E-3</c:v>
                </c:pt>
                <c:pt idx="5">
                  <c:v>-1.1100000000000027E-2</c:v>
                </c:pt>
                <c:pt idx="6">
                  <c:v>-3.1000000000000077E-3</c:v>
                </c:pt>
                <c:pt idx="7">
                  <c:v>1.6000000000000021E-2</c:v>
                </c:pt>
                <c:pt idx="8">
                  <c:v>1.2E-2</c:v>
                </c:pt>
                <c:pt idx="9">
                  <c:v>1.1700000000000037E-2</c:v>
                </c:pt>
                <c:pt idx="10">
                  <c:v>-2.1900000000000006E-2</c:v>
                </c:pt>
                <c:pt idx="11">
                  <c:v>-3.5400000000000001E-2</c:v>
                </c:pt>
                <c:pt idx="12">
                  <c:v>1.9300000000000046E-2</c:v>
                </c:pt>
                <c:pt idx="13">
                  <c:v>-3.85E-2</c:v>
                </c:pt>
                <c:pt idx="14">
                  <c:v>-6.0299999999999999E-2</c:v>
                </c:pt>
                <c:pt idx="15">
                  <c:v>2.0400000000000001E-2</c:v>
                </c:pt>
                <c:pt idx="16">
                  <c:v>1.6600000000000042E-2</c:v>
                </c:pt>
                <c:pt idx="17">
                  <c:v>-3.7999999999999999E-2</c:v>
                </c:pt>
                <c:pt idx="18">
                  <c:v>-8.2400000000000015E-2</c:v>
                </c:pt>
                <c:pt idx="19">
                  <c:v>-5.7800000000000094E-2</c:v>
                </c:pt>
                <c:pt idx="20">
                  <c:v>5.6899999999999999E-2</c:v>
                </c:pt>
              </c:numCache>
            </c:numRef>
          </c:val>
          <c:smooth val="1"/>
        </c:ser>
        <c:marker val="1"/>
        <c:axId val="126386560"/>
        <c:axId val="126412672"/>
      </c:lineChart>
      <c:dateAx>
        <c:axId val="126386560"/>
        <c:scaling>
          <c:orientation val="minMax"/>
        </c:scaling>
        <c:axPos val="b"/>
        <c:numFmt formatCode="m&quot;月&quot;d&quot;日&quot;;@" sourceLinked="1"/>
        <c:tickLblPos val="nextTo"/>
        <c:crossAx val="126412672"/>
        <c:crosses val="autoZero"/>
        <c:auto val="1"/>
        <c:lblOffset val="100"/>
      </c:dateAx>
      <c:valAx>
        <c:axId val="126412672"/>
        <c:scaling>
          <c:orientation val="minMax"/>
        </c:scaling>
        <c:axPos val="l"/>
        <c:majorGridlines/>
        <c:numFmt formatCode="0.00%" sourceLinked="1"/>
        <c:tickLblPos val="nextTo"/>
        <c:crossAx val="1263865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方差!$F$14</c:f>
              <c:strCache>
                <c:ptCount val="1"/>
                <c:pt idx="0">
                  <c:v>SBL52指数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方差!$E$15:$E$35</c:f>
              <c:numCache>
                <c:formatCode>m"月"d"日";@</c:formatCode>
                <c:ptCount val="21"/>
                <c:pt idx="0">
                  <c:v>42156</c:v>
                </c:pt>
                <c:pt idx="1">
                  <c:v>42157</c:v>
                </c:pt>
                <c:pt idx="2">
                  <c:v>42158</c:v>
                </c:pt>
                <c:pt idx="3">
                  <c:v>42159</c:v>
                </c:pt>
                <c:pt idx="4">
                  <c:v>42160</c:v>
                </c:pt>
                <c:pt idx="5">
                  <c:v>42163</c:v>
                </c:pt>
                <c:pt idx="6">
                  <c:v>42164</c:v>
                </c:pt>
                <c:pt idx="7">
                  <c:v>42165</c:v>
                </c:pt>
                <c:pt idx="8">
                  <c:v>42166</c:v>
                </c:pt>
                <c:pt idx="9">
                  <c:v>42167</c:v>
                </c:pt>
                <c:pt idx="10">
                  <c:v>42170</c:v>
                </c:pt>
                <c:pt idx="11">
                  <c:v>42171</c:v>
                </c:pt>
                <c:pt idx="12">
                  <c:v>42172</c:v>
                </c:pt>
                <c:pt idx="13">
                  <c:v>42173</c:v>
                </c:pt>
                <c:pt idx="14">
                  <c:v>42174</c:v>
                </c:pt>
                <c:pt idx="15">
                  <c:v>42178</c:v>
                </c:pt>
                <c:pt idx="16">
                  <c:v>42179</c:v>
                </c:pt>
                <c:pt idx="17">
                  <c:v>42180</c:v>
                </c:pt>
                <c:pt idx="18">
                  <c:v>42181</c:v>
                </c:pt>
                <c:pt idx="19">
                  <c:v>42184</c:v>
                </c:pt>
                <c:pt idx="20">
                  <c:v>42185</c:v>
                </c:pt>
              </c:numCache>
            </c:numRef>
          </c:cat>
          <c:val>
            <c:numRef>
              <c:f>方差!$F$15:$F$35</c:f>
              <c:numCache>
                <c:formatCode>0.00%</c:formatCode>
                <c:ptCount val="21"/>
                <c:pt idx="0">
                  <c:v>3.7800000000000084E-2</c:v>
                </c:pt>
                <c:pt idx="1">
                  <c:v>1.4700000000000001E-2</c:v>
                </c:pt>
                <c:pt idx="2">
                  <c:v>-6.7000000000000106E-3</c:v>
                </c:pt>
                <c:pt idx="3">
                  <c:v>6.0000000000000105E-3</c:v>
                </c:pt>
                <c:pt idx="4">
                  <c:v>-2.8999999999999998E-3</c:v>
                </c:pt>
                <c:pt idx="5">
                  <c:v>2.0799999999999999E-2</c:v>
                </c:pt>
                <c:pt idx="6">
                  <c:v>-7.2000000000000128E-3</c:v>
                </c:pt>
                <c:pt idx="7">
                  <c:v>-7.3000000000000096E-3</c:v>
                </c:pt>
                <c:pt idx="8">
                  <c:v>1.3100000000000021E-2</c:v>
                </c:pt>
                <c:pt idx="9">
                  <c:v>5.3000000000000096E-3</c:v>
                </c:pt>
                <c:pt idx="10">
                  <c:v>-2.63E-2</c:v>
                </c:pt>
                <c:pt idx="11">
                  <c:v>-2.5800000000000049E-2</c:v>
                </c:pt>
                <c:pt idx="12">
                  <c:v>7.3000000000000096E-3</c:v>
                </c:pt>
                <c:pt idx="13">
                  <c:v>-3.8600000000000002E-2</c:v>
                </c:pt>
                <c:pt idx="14">
                  <c:v>-6.0700000000000101E-2</c:v>
                </c:pt>
                <c:pt idx="15">
                  <c:v>2.7600000000000062E-2</c:v>
                </c:pt>
                <c:pt idx="16">
                  <c:v>-1.7899999999999999E-2</c:v>
                </c:pt>
                <c:pt idx="17">
                  <c:v>-1.8000000000000043E-3</c:v>
                </c:pt>
                <c:pt idx="18">
                  <c:v>-5.8599999999999999E-2</c:v>
                </c:pt>
                <c:pt idx="19">
                  <c:v>-4.8500000000000001E-2</c:v>
                </c:pt>
                <c:pt idx="20">
                  <c:v>7.060000000000001E-2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方差!$G$14</c:f>
              <c:strCache>
                <c:ptCount val="1"/>
                <c:pt idx="0">
                  <c:v>深证民营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方差!$E$15:$E$35</c:f>
              <c:numCache>
                <c:formatCode>m"月"d"日";@</c:formatCode>
                <c:ptCount val="21"/>
                <c:pt idx="0">
                  <c:v>42156</c:v>
                </c:pt>
                <c:pt idx="1">
                  <c:v>42157</c:v>
                </c:pt>
                <c:pt idx="2">
                  <c:v>42158</c:v>
                </c:pt>
                <c:pt idx="3">
                  <c:v>42159</c:v>
                </c:pt>
                <c:pt idx="4">
                  <c:v>42160</c:v>
                </c:pt>
                <c:pt idx="5">
                  <c:v>42163</c:v>
                </c:pt>
                <c:pt idx="6">
                  <c:v>42164</c:v>
                </c:pt>
                <c:pt idx="7">
                  <c:v>42165</c:v>
                </c:pt>
                <c:pt idx="8">
                  <c:v>42166</c:v>
                </c:pt>
                <c:pt idx="9">
                  <c:v>42167</c:v>
                </c:pt>
                <c:pt idx="10">
                  <c:v>42170</c:v>
                </c:pt>
                <c:pt idx="11">
                  <c:v>42171</c:v>
                </c:pt>
                <c:pt idx="12">
                  <c:v>42172</c:v>
                </c:pt>
                <c:pt idx="13">
                  <c:v>42173</c:v>
                </c:pt>
                <c:pt idx="14">
                  <c:v>42174</c:v>
                </c:pt>
                <c:pt idx="15">
                  <c:v>42178</c:v>
                </c:pt>
                <c:pt idx="16">
                  <c:v>42179</c:v>
                </c:pt>
                <c:pt idx="17">
                  <c:v>42180</c:v>
                </c:pt>
                <c:pt idx="18">
                  <c:v>42181</c:v>
                </c:pt>
                <c:pt idx="19">
                  <c:v>42184</c:v>
                </c:pt>
                <c:pt idx="20">
                  <c:v>42185</c:v>
                </c:pt>
              </c:numCache>
            </c:numRef>
          </c:cat>
          <c:val>
            <c:numRef>
              <c:f>方差!$G$15:$G$35</c:f>
              <c:numCache>
                <c:formatCode>0.00%</c:formatCode>
                <c:ptCount val="21"/>
                <c:pt idx="0">
                  <c:v>4.8899999999999999E-2</c:v>
                </c:pt>
                <c:pt idx="1">
                  <c:v>3.6200000000000052E-2</c:v>
                </c:pt>
                <c:pt idx="2">
                  <c:v>2.2000000000000053E-3</c:v>
                </c:pt>
                <c:pt idx="3">
                  <c:v>-3.3000000000000048E-3</c:v>
                </c:pt>
                <c:pt idx="4">
                  <c:v>-2.0999999999999999E-3</c:v>
                </c:pt>
                <c:pt idx="5">
                  <c:v>-1.2500000000000001E-2</c:v>
                </c:pt>
                <c:pt idx="6">
                  <c:v>-2.5999999999999999E-3</c:v>
                </c:pt>
                <c:pt idx="7">
                  <c:v>2.1399999999999999E-2</c:v>
                </c:pt>
                <c:pt idx="8">
                  <c:v>1.3899999999999999E-2</c:v>
                </c:pt>
                <c:pt idx="9">
                  <c:v>4.3000000000000095E-3</c:v>
                </c:pt>
                <c:pt idx="10">
                  <c:v>-3.2399999999999998E-2</c:v>
                </c:pt>
                <c:pt idx="11">
                  <c:v>-3.2600000000000073E-2</c:v>
                </c:pt>
                <c:pt idx="12">
                  <c:v>2.1800000000000052E-2</c:v>
                </c:pt>
                <c:pt idx="13">
                  <c:v>-5.1299999999999998E-2</c:v>
                </c:pt>
                <c:pt idx="14">
                  <c:v>-5.7000000000000023E-2</c:v>
                </c:pt>
                <c:pt idx="15">
                  <c:v>2.4400000000000002E-2</c:v>
                </c:pt>
                <c:pt idx="16">
                  <c:v>6.0000000000000105E-3</c:v>
                </c:pt>
                <c:pt idx="17">
                  <c:v>-4.6899999999999997E-2</c:v>
                </c:pt>
                <c:pt idx="18">
                  <c:v>-8.7800000000000003E-2</c:v>
                </c:pt>
                <c:pt idx="19">
                  <c:v>-7.1300000000000002E-2</c:v>
                </c:pt>
                <c:pt idx="20">
                  <c:v>6.9300000000000153E-2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方差!$H$14</c:f>
              <c:strCache>
                <c:ptCount val="1"/>
                <c:pt idx="0">
                  <c:v>中证民企200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方差!$E$15:$E$35</c:f>
              <c:numCache>
                <c:formatCode>m"月"d"日";@</c:formatCode>
                <c:ptCount val="21"/>
                <c:pt idx="0">
                  <c:v>42156</c:v>
                </c:pt>
                <c:pt idx="1">
                  <c:v>42157</c:v>
                </c:pt>
                <c:pt idx="2">
                  <c:v>42158</c:v>
                </c:pt>
                <c:pt idx="3">
                  <c:v>42159</c:v>
                </c:pt>
                <c:pt idx="4">
                  <c:v>42160</c:v>
                </c:pt>
                <c:pt idx="5">
                  <c:v>42163</c:v>
                </c:pt>
                <c:pt idx="6">
                  <c:v>42164</c:v>
                </c:pt>
                <c:pt idx="7">
                  <c:v>42165</c:v>
                </c:pt>
                <c:pt idx="8">
                  <c:v>42166</c:v>
                </c:pt>
                <c:pt idx="9">
                  <c:v>42167</c:v>
                </c:pt>
                <c:pt idx="10">
                  <c:v>42170</c:v>
                </c:pt>
                <c:pt idx="11">
                  <c:v>42171</c:v>
                </c:pt>
                <c:pt idx="12">
                  <c:v>42172</c:v>
                </c:pt>
                <c:pt idx="13">
                  <c:v>42173</c:v>
                </c:pt>
                <c:pt idx="14">
                  <c:v>42174</c:v>
                </c:pt>
                <c:pt idx="15">
                  <c:v>42178</c:v>
                </c:pt>
                <c:pt idx="16">
                  <c:v>42179</c:v>
                </c:pt>
                <c:pt idx="17">
                  <c:v>42180</c:v>
                </c:pt>
                <c:pt idx="18">
                  <c:v>42181</c:v>
                </c:pt>
                <c:pt idx="19">
                  <c:v>42184</c:v>
                </c:pt>
                <c:pt idx="20">
                  <c:v>42185</c:v>
                </c:pt>
              </c:numCache>
            </c:numRef>
          </c:cat>
          <c:val>
            <c:numRef>
              <c:f>方差!$H$15:$H$35</c:f>
              <c:numCache>
                <c:formatCode>0.00%</c:formatCode>
                <c:ptCount val="21"/>
                <c:pt idx="0">
                  <c:v>4.82E-2</c:v>
                </c:pt>
                <c:pt idx="1">
                  <c:v>3.44E-2</c:v>
                </c:pt>
                <c:pt idx="2">
                  <c:v>-1.7000000000000032E-3</c:v>
                </c:pt>
                <c:pt idx="3">
                  <c:v>2.0000000000000052E-4</c:v>
                </c:pt>
                <c:pt idx="4">
                  <c:v>7.4000000000000177E-3</c:v>
                </c:pt>
                <c:pt idx="5">
                  <c:v>-4.8000000000000004E-3</c:v>
                </c:pt>
                <c:pt idx="6">
                  <c:v>-2.5999999999999999E-3</c:v>
                </c:pt>
                <c:pt idx="7">
                  <c:v>1.8499999999999999E-2</c:v>
                </c:pt>
                <c:pt idx="8">
                  <c:v>1.3100000000000021E-2</c:v>
                </c:pt>
                <c:pt idx="9">
                  <c:v>7.3000000000000096E-3</c:v>
                </c:pt>
                <c:pt idx="10">
                  <c:v>-2.6200000000000011E-2</c:v>
                </c:pt>
                <c:pt idx="11">
                  <c:v>-3.0800000000000011E-2</c:v>
                </c:pt>
                <c:pt idx="12">
                  <c:v>1.3200000000000026E-2</c:v>
                </c:pt>
                <c:pt idx="13">
                  <c:v>-4.0100000000000004E-2</c:v>
                </c:pt>
                <c:pt idx="14">
                  <c:v>-6.0500000000000012E-2</c:v>
                </c:pt>
                <c:pt idx="15">
                  <c:v>1.2100000000000001E-2</c:v>
                </c:pt>
                <c:pt idx="16">
                  <c:v>1.43E-2</c:v>
                </c:pt>
                <c:pt idx="17">
                  <c:v>-4.3099999999999999E-2</c:v>
                </c:pt>
                <c:pt idx="18">
                  <c:v>-8.0600000000000047E-2</c:v>
                </c:pt>
                <c:pt idx="19">
                  <c:v>-5.3300000000000014E-2</c:v>
                </c:pt>
                <c:pt idx="20">
                  <c:v>6.3800000000000009E-2</c:v>
                </c:pt>
              </c:numCache>
            </c:numRef>
          </c:val>
          <c:smooth val="1"/>
        </c:ser>
        <c:marker val="1"/>
        <c:axId val="128165376"/>
        <c:axId val="128166912"/>
      </c:lineChart>
      <c:dateAx>
        <c:axId val="128165376"/>
        <c:scaling>
          <c:orientation val="minMax"/>
        </c:scaling>
        <c:axPos val="b"/>
        <c:numFmt formatCode="m&quot;月&quot;d&quot;日&quot;;@" sourceLinked="1"/>
        <c:tickLblPos val="nextTo"/>
        <c:crossAx val="128166912"/>
        <c:crosses val="autoZero"/>
        <c:auto val="1"/>
        <c:lblOffset val="100"/>
      </c:dateAx>
      <c:valAx>
        <c:axId val="128166912"/>
        <c:scaling>
          <c:orientation val="minMax"/>
        </c:scaling>
        <c:axPos val="l"/>
        <c:majorGridlines/>
        <c:numFmt formatCode="0.00%" sourceLinked="1"/>
        <c:tickLblPos val="nextTo"/>
        <c:crossAx val="1281653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332398968912791E-2"/>
          <c:y val="9.2022817147856525E-2"/>
          <c:w val="0.91135626763232136"/>
          <c:h val="0.78157163687872633"/>
        </c:manualLayout>
      </c:layout>
      <c:pie3DChart>
        <c:varyColors val="1"/>
        <c:ser>
          <c:idx val="0"/>
          <c:order val="0"/>
          <c:tx>
            <c:strRef>
              <c:f>Sheet1!$D$2</c:f>
              <c:strCache>
                <c:ptCount val="1"/>
                <c:pt idx="0">
                  <c:v>占比</c:v>
                </c:pt>
              </c:strCache>
            </c:strRef>
          </c:tx>
          <c:dLbls>
            <c:dLbl>
              <c:idx val="0"/>
              <c:showVal val="1"/>
              <c:showCatName val="1"/>
            </c:dLbl>
            <c:dLbl>
              <c:idx val="1"/>
              <c:showVal val="1"/>
              <c:showCatName val="1"/>
            </c:dLbl>
            <c:dLbl>
              <c:idx val="2"/>
              <c:showVal val="1"/>
              <c:showCatName val="1"/>
            </c:dLbl>
            <c:dLbl>
              <c:idx val="3"/>
              <c:layout>
                <c:manualLayout>
                  <c:x val="-0.13771049411860337"/>
                  <c:y val="3.473428206795255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900"/>
                      <a:t>批发零售业</a:t>
                    </a:r>
                    <a:r>
                      <a:rPr lang="en-US" altLang="zh-CN" sz="900"/>
                      <a:t>, 3.38%</a:t>
                    </a:r>
                    <a:endParaRPr lang="zh-CN" altLang="en-US" sz="900"/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6.1437418712643112E-2"/>
                  <c:y val="-3.2870131233595799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7.8562877899450184E-2"/>
                  <c:y val="-3.079615048118985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0.1714135196427817"/>
                  <c:y val="-9.9152405949257342E-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zh-CN"/>
              </a:p>
            </c:txPr>
            <c:showVal val="1"/>
            <c:showLeaderLines val="1"/>
          </c:dLbls>
          <c:cat>
            <c:strRef>
              <c:f>Sheet1!$B$3:$B$9</c:f>
              <c:strCache>
                <c:ptCount val="7"/>
                <c:pt idx="0">
                  <c:v>制造业</c:v>
                </c:pt>
                <c:pt idx="1">
                  <c:v>房地产与建筑业</c:v>
                </c:pt>
                <c:pt idx="2">
                  <c:v>金融业</c:v>
                </c:pt>
                <c:pt idx="3">
                  <c:v>批发零售业</c:v>
                </c:pt>
                <c:pt idx="4">
                  <c:v>信息技术业</c:v>
                </c:pt>
                <c:pt idx="5">
                  <c:v>公用事业</c:v>
                </c:pt>
                <c:pt idx="6">
                  <c:v>综合类</c:v>
                </c:pt>
              </c:strCache>
            </c:strRef>
          </c:cat>
          <c:val>
            <c:numRef>
              <c:f>Sheet1!$D$3:$D$9</c:f>
              <c:numCache>
                <c:formatCode>0.00%</c:formatCode>
                <c:ptCount val="7"/>
                <c:pt idx="0">
                  <c:v>0.42909808970015856</c:v>
                </c:pt>
                <c:pt idx="1">
                  <c:v>6.6899605932046913E-2</c:v>
                </c:pt>
                <c:pt idx="2">
                  <c:v>0.39347943586533002</c:v>
                </c:pt>
                <c:pt idx="3">
                  <c:v>3.3773063130530544E-2</c:v>
                </c:pt>
                <c:pt idx="4">
                  <c:v>3.8586661713359421E-2</c:v>
                </c:pt>
                <c:pt idx="5">
                  <c:v>1.5783533321558803E-2</c:v>
                </c:pt>
                <c:pt idx="6">
                  <c:v>2.2379610337019462E-2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006649168853897"/>
          <c:y val="0.8586510920369218"/>
          <c:w val="0.83542992329053911"/>
          <c:h val="0.1413489368874776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1951</Characters>
  <Application>Microsoft Office Word</Application>
  <DocSecurity>0</DocSecurity>
  <Lines>16</Lines>
  <Paragraphs>4</Paragraphs>
  <ScaleCrop>false</ScaleCrop>
  <Company>http://sdwm.org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2015-07-22T09:58:00Z</dcterms:created>
  <dcterms:modified xsi:type="dcterms:W3CDTF">2015-07-22T09:59:00Z</dcterms:modified>
</cp:coreProperties>
</file>