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750" w:beforeAutospacing="0" w:after="0" w:afterAutospacing="0" w:line="870" w:lineRule="atLeast"/>
        <w:ind w:left="0" w:right="0"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24"/>
          <w:szCs w:val="24"/>
          <w:shd w:val="clear" w:fill="F8F8F9"/>
        </w:rPr>
        <w:t>银行对中小私募机构有多严苛？查历史、看回撤、持仓太集中不要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8F8F9"/>
        <w:spacing w:before="750" w:beforeAutospacing="0" w:after="0" w:afterAutospacing="0"/>
        <w:ind w:left="0" w:right="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eastAsia" w:ascii="Arial" w:hAnsi="Arial" w:eastAsia="宋体" w:cs="Arial"/>
          <w:kern w:val="0"/>
          <w:sz w:val="18"/>
          <w:szCs w:val="18"/>
          <w:u w:val="none"/>
          <w:shd w:val="clear" w:fill="F8F8F9"/>
          <w:lang w:val="en-US" w:eastAsia="zh-CN" w:bidi="ar"/>
        </w:rPr>
        <w:t>来源：</w:t>
      </w:r>
      <w:r>
        <w:rPr>
          <w:rFonts w:hint="default" w:ascii="Arial" w:hAnsi="Arial" w:eastAsia="宋体" w:cs="Arial"/>
          <w:kern w:val="0"/>
          <w:sz w:val="18"/>
          <w:szCs w:val="18"/>
          <w:u w:val="none"/>
          <w:shd w:val="clear" w:fill="F8F8F9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kern w:val="0"/>
          <w:sz w:val="18"/>
          <w:szCs w:val="18"/>
          <w:u w:val="none"/>
          <w:shd w:val="clear" w:fill="F8F8F9"/>
          <w:lang w:val="en-US" w:eastAsia="zh-CN" w:bidi="ar"/>
        </w:rPr>
        <w:instrText xml:space="preserve"> HYPERLINK "https://author.baidu.com/home?from=bjh_article&amp;app_id=1572595784300706" \t "https://baijiahao.baidu.com/_blank" </w:instrText>
      </w:r>
      <w:r>
        <w:rPr>
          <w:rFonts w:hint="default" w:ascii="Arial" w:hAnsi="Arial" w:eastAsia="宋体" w:cs="Arial"/>
          <w:kern w:val="0"/>
          <w:sz w:val="18"/>
          <w:szCs w:val="18"/>
          <w:u w:val="none"/>
          <w:shd w:val="clear" w:fill="F8F8F9"/>
          <w:lang w:val="en-US" w:eastAsia="zh-CN" w:bidi="ar"/>
        </w:rPr>
        <w:fldChar w:fldCharType="separate"/>
      </w:r>
      <w:r>
        <w:rPr>
          <w:rStyle w:val="9"/>
          <w:rFonts w:hint="default" w:ascii="Arial" w:hAnsi="Arial" w:eastAsia="宋体" w:cs="Arial"/>
          <w:sz w:val="18"/>
          <w:szCs w:val="18"/>
          <w:u w:val="none"/>
          <w:shd w:val="clear" w:fill="F8F8F9"/>
        </w:rPr>
        <w:t>第一财经</w:t>
      </w:r>
      <w:r>
        <w:rPr>
          <w:rFonts w:hint="default" w:ascii="Arial" w:hAnsi="Arial" w:eastAsia="宋体" w:cs="Arial"/>
          <w:kern w:val="0"/>
          <w:sz w:val="18"/>
          <w:szCs w:val="18"/>
          <w:u w:val="none"/>
          <w:shd w:val="clear" w:fill="F8F8F9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8F8F9"/>
        <w:spacing w:before="750" w:beforeAutospacing="0" w:after="0" w:afterAutospacing="0"/>
        <w:ind w:left="0" w:right="0"/>
        <w:jc w:val="left"/>
        <w:rPr>
          <w:rFonts w:hint="default" w:ascii="Arial" w:hAnsi="Arial" w:cs="Arial"/>
          <w:sz w:val="18"/>
          <w:szCs w:val="18"/>
        </w:rPr>
      </w:pPr>
      <w:r>
        <w:rPr>
          <w:rStyle w:val="10"/>
          <w:rFonts w:hint="default" w:ascii="Arial" w:hAnsi="Arial" w:eastAsia="宋体" w:cs="Arial"/>
          <w:sz w:val="18"/>
          <w:szCs w:val="18"/>
          <w:shd w:val="clear" w:fill="F8F8F9"/>
          <w:lang w:val="en-US" w:eastAsia="zh-CN" w:bidi="ar"/>
        </w:rPr>
        <w:t>第一财经官方帐号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“银行和我们合作时太过于强势，很多时候我都觉得，我们能分得多少利润，完全看银行们的心情。”一个位于北京地区阳光私募经理对第一财经愤愤不平地表示。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某深圳地区中小型私募基金渠道端负责人表达了同样的看法，目前私募证券市场二八分化现象严重，在投研实力、渠道建设、品牌意识等方面，头部与非头部私募差异明显。伴随资管新规施行、监管“扶优限劣”、销售渠道提升准入门槛，中小私募处境将更为艰难，尾部机构面临加速淘汰风险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在她看来，银行对于中小私募苛刻的准入条件，是造成市场分化严重的重要原因之一。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平安私募基金年度报告显示，截至2020年末，数据可查的私募管理人共8170家，其中管理规模100亿以上私募仅70家，占比0.86%；管理规模10亿以上私募合计545家，占比仅为6.67%。私募行业马太效应明显，少部分私募掌握了行业大部分的管理规模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私募机构二八分化无疑是客观事实。但是造成这一现象的原因绝不仅仅是渠道准入条件这一点，大型私募可追溯业绩时间长,内部管理更规范,投研能力更强,容易得到机构投资者的信赖,这些都是大型私募机构相对于小型私募机构的优势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Style w:val="11"/>
          <w:rFonts w:hint="default" w:ascii="Arial" w:hAnsi="Arial" w:cs="Arial"/>
          <w:shd w:val="clear" w:fill="FFFFFF"/>
        </w:rPr>
        <w:t>规模并非唯一考量标准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“像中信银行、招商银行这种大型银行，它们一个营业部就能给我们产品带来2个亿的量，不服不行。”上述私募基金渠道端负责人对第一财经说道。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她表示，很多小型甚至中型私募，银行说什么就是什么，只要能进银行经销体系怎么都行。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以信托型私募基金为例，从最后的利益分成来看，商业银行占据着绝对分量。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上述私募渠道端负责人提供给第一财经的一份材料显示，银行通常会从投资人客户处收取托管费、发行费等费用。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需要注意的是，除了上述几大费用外，银行还会从私募基金1%~2%的管理费收益中抽取2成~5成作为额外提成。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“具体抽取多少得看和银行谈的情况。”上述渠道端负责人表示。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券商和私募机构合作时并不需要从管理费中额外抽取2~5成作为额外提成。但是当投资人客户持有产品时间不足12个月即赎回时，需要向券商缴纳2%的赎回费用。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除了比券商收取更多费用，银行对于私募产品的准入条件也更加苛刻。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上述北京地区阳光私募经理表示，受限于规模及其他因素，像它们这样的中小型券商很难“入银行法眼”。银行喜欢那种收益高、业绩稳定、以及持仓比例分散的私募基金。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“比如我今年业绩做得很好，但是持仓股票过于集中，银行也不喜欢。”私募经理解释道。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银行希望控制私募机构的回撤比例，就算你的股票持仓分散、业绩也不错，但哪天回撤比例过大，“可能银行一个电话就打过来了”。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此外，银行对于私募基金历史业绩有着非常高的要求。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私募经理表示，如果某机构把银行以前发的产品做烂了，可能从此以后就进入银行的黑名单，再也得不到银行的渠道支持了。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Style w:val="11"/>
          <w:rFonts w:hint="default" w:ascii="Arial" w:hAnsi="Arial" w:cs="Arial"/>
          <w:shd w:val="clear" w:fill="FFFFFF"/>
        </w:rPr>
        <w:t>行业二八分化明显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除上述条件外，多家大型券商及银行对私募产品规模做出了明确限制，并提出“历史累计产品金额超过5亿”、“管理人管理规模5亿以上”、“只接实力雄厚的产业基金”等硬性限制规定。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私募规模不同，能够合作的银行级别也不一样。不少大型私募基金公司、明星基金经理一般都能获得各家银行总行的青睐，如李旭利仍在任时的上海重阳，其在交通银行总行2天即募集12亿元。而话语权不足的中小型私募机构，通常只能与分行合作，资金募集规模一般在亿元上下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从2020年全年数据来看，私募证券行业二八分化现象十分严重。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/>
        <w:jc w:val="left"/>
        <w:rPr>
          <w:rFonts w:hint="default" w:ascii="Arial" w:hAnsi="Arial" w:cs="Arial"/>
          <w:sz w:val="18"/>
          <w:szCs w:val="18"/>
        </w:rPr>
      </w:pPr>
      <w:r>
        <w:rPr>
          <w:rStyle w:val="12"/>
          <w:rFonts w:hint="default" w:ascii="Arial" w:hAnsi="Arial" w:eastAsia="宋体" w:cs="Arial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096000" cy="321945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平安私募基金年度报告显示数据可查的私募管理人共8170家，其中管理规模100亿以上私募仅70家，占比0.86%；管理规模10亿以上私募合计545家，占比仅为6.67%，但新发产品数量至少占到43%以上。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私募行业马太效应明显，少部分私募掌握了行业大部分的管理规模。头部私募（管理规模50亿以上）主要策略以股票策略、固定收益为主，并且量化私募在中大型管理人中有崛起之势。</w:t>
      </w:r>
    </w:p>
    <w:p>
      <w:pPr>
        <w:pStyle w:val="4"/>
        <w:keepNext w:val="0"/>
        <w:keepLines w:val="0"/>
        <w:widowControl/>
        <w:suppressLineNumbers w:val="0"/>
        <w:spacing w:line="360" w:lineRule="atLeast"/>
        <w:jc w:val="both"/>
        <w:rPr>
          <w:color w:val="333333"/>
          <w:sz w:val="24"/>
          <w:szCs w:val="24"/>
          <w:lang w:val="en-US" w:eastAsia="zh-CN"/>
        </w:rPr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如同上文所说，造成私募行业二八分化的原因绝不仅仅是渠道准入这一条，和公募基金类似，业绩好规模大、有市场影响力的、公司老大有行业地位、或者有明星基金经理加持的私募产品，更容易受到市场认可和资金追捧，种种因素叠加在一起，自然促成了私募市场的马太效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5FAD"/>
    <w:rsid w:val="03E95FAD"/>
    <w:rsid w:val="44296325"/>
    <w:rsid w:val="542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none"/>
    </w:rPr>
  </w:style>
  <w:style w:type="character" w:customStyle="1" w:styleId="10">
    <w:name w:val="account-authentication1"/>
    <w:basedOn w:val="6"/>
    <w:qFormat/>
    <w:uiPriority w:val="0"/>
    <w:rPr>
      <w:bdr w:val="single" w:color="EEEEEE" w:sz="6" w:space="0"/>
    </w:rPr>
  </w:style>
  <w:style w:type="character" w:customStyle="1" w:styleId="11">
    <w:name w:val="bjh-strong3"/>
    <w:basedOn w:val="6"/>
    <w:qFormat/>
    <w:uiPriority w:val="0"/>
    <w:rPr>
      <w:color w:val="999999"/>
    </w:rPr>
  </w:style>
  <w:style w:type="character" w:customStyle="1" w:styleId="12">
    <w:name w:val="large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2021-02-19T14:29:00Z</dcterms:created>
  <dc:creator>happy</dc:creator>
  <cp:lastModifiedBy>happy</cp:lastModifiedBy>
  <dcterms:modified xsi:type="dcterms:W3CDTF">2021-02-19T14:49:35Z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