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0" w:afterAutospacing="0" w:line="870" w:lineRule="atLeast"/>
        <w:ind w:left="0" w:right="0"/>
        <w:jc w:val="both"/>
        <w:rPr>
          <w:rFonts w:hint="eastAsia" w:ascii="微软雅黑" w:hAnsi="微软雅黑" w:eastAsia="微软雅黑" w:cs="微软雅黑"/>
          <w:b/>
          <w:sz w:val="60"/>
          <w:szCs w:val="6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60"/>
          <w:szCs w:val="60"/>
          <w:shd w:val="clear" w:fill="F8F8F9"/>
        </w:rPr>
        <w:t>私募强势吸金！11月私募备案量高增48%，指数增强类获追捧，宁波灵均54只蝉联备案王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9"/>
        <w:spacing w:before="750" w:beforeAutospacing="0" w:after="0" w:afterAutospacing="0"/>
        <w:ind w:left="0" w:right="3976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9"/>
        <w:spacing w:before="45" w:beforeAutospacing="0" w:after="75" w:afterAutospacing="0"/>
        <w:ind w:left="0" w:right="3750" w:firstLine="0"/>
        <w:jc w:val="left"/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8F8F9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8F8F9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8F8F9"/>
          <w:lang w:val="en-US" w:eastAsia="zh-CN" w:bidi="ar"/>
        </w:rPr>
        <w:instrText xml:space="preserve"> HYPERLINK "https://author.baidu.com/home?from=bjh_article&amp;app_id=1562643370032195" \t "https://baijiahao.baidu.com/_blank" </w:instrTex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8F8F9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sz w:val="24"/>
          <w:szCs w:val="24"/>
          <w:u w:val="none"/>
          <w:shd w:val="clear" w:fill="F8F8F9"/>
        </w:rPr>
        <w:t>财联社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8F8F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9"/>
        <w:spacing w:before="45" w:beforeAutospacing="0" w:after="75" w:afterAutospacing="0"/>
        <w:ind w:left="0" w:right="375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0"/>
          <w:szCs w:val="0"/>
        </w:rPr>
      </w:pPr>
      <w:r>
        <w:rPr>
          <w:rFonts w:hint="default" w:ascii="Arial" w:hAnsi="Arial" w:eastAsia="宋体" w:cs="Arial"/>
          <w:i w:val="0"/>
          <w:caps w:val="0"/>
          <w:color w:val="999999"/>
          <w:spacing w:val="0"/>
          <w:kern w:val="0"/>
          <w:sz w:val="18"/>
          <w:szCs w:val="18"/>
          <w:bdr w:val="single" w:color="EEEEEE" w:sz="6" w:space="0"/>
          <w:shd w:val="clear" w:fill="F8F8F9"/>
          <w:lang w:val="en-US" w:eastAsia="zh-CN" w:bidi="ar"/>
        </w:rPr>
        <w:t>界面新闻旗下财经帐号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财联社（北京，记者 陈俊岭）讯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，在顺周期行情的推波助澜下，11月私募机构的备案节奏再度加快。中基协私募基金备案数据显示，11月份私募机构共备案1857只私募证券投资基金，相比10月1258只备案量环比大增47.61%。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刚刚结束的11月份，银行、煤炭、有色等顺周期板块一改颓势，将上证指数再次推至年内高点，而在这种久违的赚钱效应之下，无论是指数增强类的量化私募，还是价值发现类的传统私募，都得以迎来一波牛气哄哄的募资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272405" cy="3345815"/>
            <wp:effectExtent l="0" t="0" r="4445" b="6985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在其中，指数增强类量化私募产品更获得渠道方面的追捧。以11月私募备案王宁波灵均投资为例，当月指数增强类产品多达28只，其中仅在11月19日就备案了11只跟踪中证500指数的增强产品。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11月私募备案量环增近五成，宁波、上海多家量化私募居前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在经历10月份的备案量低谷后，11月私募机构的证券投资私募基金的备案节奏就呈现明显回升的势头——11月上半月备案量994只，11月下半月备案量虽不及上半月，但也高达863只。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截止11月30日，11月私募机构在中基协共备案1857只证券投资类产品，平均日均备案量93只，相比10月份同期1258只和工作日均55只水平均有较为明显的回升。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具体来看，11月份工作日私募证券投资基金备案量最高的一天出现在11月2日，当天总计备案了138只证券投资基金；此外，11月13日和11月18日各备案了111只和102只产品，还有5个工作日备案量维持在90只至100至水平。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从各家私募机构的备案数量看，11月份备案量居前的私募机构分别为：宁波灵均投资（54只）、上海景林资产（34只）、上海和谐汇一（27只）、宁波幻方量化（26只）、上海衍复投资（26只）、北京天演资本（20只）、上海明汯投资（16只）、上海聚鸣投资（14只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一个值得注意的现象是，在单月备案量10只以上的私募机构中，既有前期备案量靠前、近期备案节奏有所放缓的知名私募机构，也有一些新近杀出重围的私募新面孔。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前者如上海迎水投资（12只）、北京九坤投资（11只）和广州玄元投资（10只），后者如杭州华软新动力（14只）、深圳悟空投资（13只）、北京实创天成（13只），显示出私募机构群体的勃勃生机与活力。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指数收益+超额收益，指数增强类获渠道追捧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在顺周期板块的推波助澜下，上证指数11月上涨5.19%，录得仅次于今年7月的年内第二涨幅，而与此同时，代表成长股的创业板指数却在11月份收跌0.9%，此长彼消之下，各类私募机构的募资市场的竞争也暗潮涌动。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一边是银行、煤炭、有色等顺周期类股票的集体异动，一边是医药、消费、科技等成长股的萎靡不振——11月份的结构性行情愈演愈烈，在不少投资人感慨“只赚指数不赚钱”的同时，部分指数增强类私募却大放异彩，成为私募市场的低调的“吸金者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梳理11月份近两千只私募备案数据，备案产品中带有“指数增强”就多达92只，其中以中证500指数居多，以11月私募备案王——宁波灵均投资为例，这家量化私募单月备案量达到54只，其中仅指数增强类产品就多达28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11月19日，宁波灵均投资一口气在中基协备案了11只“灵均信芳中证500指数增强”类私募证券投资基金，产品序号从C期到L期，托管机构均为中信证券股份有限公司，显示出券商渠道对指数增强类量化私募产品的热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273040" cy="3153410"/>
            <wp:effectExtent l="0" t="0" r="3810" b="8890"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shd w:val="clear" w:fill="FFFFFF"/>
        </w:rPr>
        <w:t>图片：某量化私募机构指数增强产品收益走势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“在指数整体向上的市场中，指数增强类量化产品既能跟踪指数赚取指数收益，又能通过一些量化工具赚取一部分超额收益，这满足了一部分高净值客户的刚性需求。”上海一家量化私募合伙人分析称。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据上述私募合伙人透露，他们主打的三类量化策略——指数增强产品、中性策略产品和对冲策略产品中，今年收益率最高的产品是指数增强产品，前者今年已录得超50%收益，而后两者的收益率仅为14%和20%的收益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line="360" w:lineRule="atLeast"/>
        <w:ind w:left="0" w:right="0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shd w:val="clear" w:fill="FFFFFF"/>
        </w:rPr>
        <w:t>“尽管中性策略和对冲策略的波动率和回撤率均较低，但投资人更愿意为高收益承担一定的波动风险。”他称，而伴随指数行情渐渐得到市场认可，各家量化私募机构的指数增强产品营销也更为顺畅。</w:t>
      </w:r>
    </w:p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492375" cy="1490345"/>
            <wp:effectExtent l="0" t="0" r="3175" b="14605"/>
            <wp:docPr id="6" name="图片 6" descr="d83d8cf77c4f809f6878b1dbbb6e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83d8cf77c4f809f6878b1dbbb6e5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9865" cy="3527425"/>
            <wp:effectExtent l="0" t="0" r="6985" b="15875"/>
            <wp:docPr id="5" name="图片 5" descr="582c2599c67be9b970af0e595b675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82c2599c67be9b970af0e595b6756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B5A6A"/>
    <w:rsid w:val="09866DB9"/>
    <w:rsid w:val="1E3B5A6A"/>
    <w:rsid w:val="5626510D"/>
    <w:rsid w:val="7E5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2020-12-05T14:49:00Z</dcterms:created>
  <dc:creator>water_walter</dc:creator>
  <cp:lastModifiedBy>water_walter</cp:lastModifiedBy>
  <dcterms:modified xsi:type="dcterms:W3CDTF">2020-12-06T00:20:33Z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