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99" w:rsidRPr="004F1F99" w:rsidRDefault="004F1F99" w:rsidP="004F1F99">
      <w:pPr>
        <w:widowControl/>
        <w:shd w:val="clear" w:color="auto" w:fill="FFFFFF"/>
        <w:spacing w:line="720" w:lineRule="atLeast"/>
        <w:jc w:val="center"/>
        <w:outlineLvl w:val="0"/>
        <w:rPr>
          <w:rFonts w:ascii="黑体" w:eastAsia="黑体" w:hAnsi="黑体" w:cs="宋体"/>
          <w:color w:val="4E4E4E"/>
          <w:kern w:val="36"/>
          <w:sz w:val="30"/>
          <w:szCs w:val="30"/>
        </w:rPr>
      </w:pPr>
      <w:r w:rsidRPr="004F1F99">
        <w:rPr>
          <w:rFonts w:ascii="黑体" w:eastAsia="黑体" w:hAnsi="黑体" w:cs="宋体" w:hint="eastAsia"/>
          <w:color w:val="4E4E4E"/>
          <w:kern w:val="36"/>
          <w:sz w:val="30"/>
          <w:szCs w:val="30"/>
        </w:rPr>
        <w:t>三一重工2019年半年报点评:龙头优势无与伦比,景气周期资产质量加速提升</w:t>
      </w:r>
    </w:p>
    <w:p w:rsidR="004F1F99" w:rsidRPr="004F1F99" w:rsidRDefault="004F1F99" w:rsidP="004F1F9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4E4E4E"/>
          <w:kern w:val="0"/>
          <w:sz w:val="18"/>
          <w:szCs w:val="18"/>
        </w:rPr>
      </w:pPr>
      <w:r w:rsidRPr="004F1F99">
        <w:rPr>
          <w:rFonts w:ascii="宋体" w:eastAsia="宋体" w:hAnsi="宋体" w:cs="宋体" w:hint="eastAsia"/>
          <w:color w:val="4E4E4E"/>
          <w:kern w:val="0"/>
          <w:sz w:val="18"/>
          <w:szCs w:val="18"/>
        </w:rPr>
        <w:t>类别：公司研究 机构：</w:t>
      </w:r>
      <w:hyperlink r:id="rId4" w:tgtFrame="_blank" w:history="1">
        <w:r w:rsidRPr="004F1F99">
          <w:rPr>
            <w:rFonts w:ascii="宋体" w:eastAsia="宋体" w:hAnsi="宋体" w:cs="宋体" w:hint="eastAsia"/>
            <w:color w:val="0000FF"/>
            <w:kern w:val="0"/>
            <w:sz w:val="18"/>
          </w:rPr>
          <w:t>东莞证券股份有限公司</w:t>
        </w:r>
      </w:hyperlink>
      <w:r w:rsidRPr="004F1F99">
        <w:rPr>
          <w:rFonts w:ascii="宋体" w:eastAsia="宋体" w:hAnsi="宋体" w:cs="宋体" w:hint="eastAsia"/>
          <w:color w:val="4E4E4E"/>
          <w:kern w:val="0"/>
          <w:sz w:val="18"/>
          <w:szCs w:val="18"/>
        </w:rPr>
        <w:t> 研究员：</w:t>
      </w:r>
      <w:hyperlink r:id="rId5" w:tgtFrame="_blank" w:history="1">
        <w:r w:rsidRPr="004F1F99">
          <w:rPr>
            <w:rFonts w:ascii="宋体" w:eastAsia="宋体" w:hAnsi="宋体" w:cs="宋体" w:hint="eastAsia"/>
            <w:color w:val="0000FF"/>
            <w:kern w:val="0"/>
            <w:sz w:val="18"/>
          </w:rPr>
          <w:t>卢立亭</w:t>
        </w:r>
      </w:hyperlink>
      <w:r w:rsidRPr="004F1F99">
        <w:rPr>
          <w:rFonts w:ascii="宋体" w:eastAsia="宋体" w:hAnsi="宋体" w:cs="宋体" w:hint="eastAsia"/>
          <w:color w:val="4E4E4E"/>
          <w:kern w:val="0"/>
          <w:sz w:val="18"/>
          <w:szCs w:val="18"/>
        </w:rPr>
        <w:t> </w:t>
      </w:r>
      <w:r w:rsidR="002E5450">
        <w:rPr>
          <w:rFonts w:ascii="宋体" w:eastAsia="宋体" w:hAnsi="宋体" w:cs="宋体" w:hint="eastAsia"/>
          <w:color w:val="4E4E4E"/>
          <w:kern w:val="0"/>
          <w:sz w:val="18"/>
          <w:szCs w:val="18"/>
        </w:rPr>
        <w:t xml:space="preserve"> </w:t>
      </w:r>
    </w:p>
    <w:p w:rsidR="004F1F99" w:rsidRPr="004F1F99" w:rsidRDefault="004F1F99" w:rsidP="004F1F99">
      <w:pPr>
        <w:widowControl/>
        <w:shd w:val="clear" w:color="auto" w:fill="FFFFFF"/>
        <w:spacing w:before="150" w:after="150" w:line="345" w:lineRule="atLeast"/>
        <w:ind w:firstLine="480"/>
        <w:jc w:val="left"/>
        <w:rPr>
          <w:rFonts w:ascii="宋体" w:eastAsia="宋体" w:hAnsi="宋体" w:cs="宋体" w:hint="eastAsia"/>
          <w:color w:val="4E4E4E"/>
          <w:kern w:val="0"/>
          <w:szCs w:val="21"/>
        </w:rPr>
      </w:pP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上半年业绩大幅增长,</w:t>
      </w:r>
      <w:proofErr w:type="gramStart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归母净利润</w:t>
      </w:r>
      <w:proofErr w:type="gramEnd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创历史同期最高水平。2019年H1,公司实现营收433.9亿元,同比增长54.3%;实现</w:t>
      </w:r>
      <w:proofErr w:type="gramStart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归母净利润</w:t>
      </w:r>
      <w:proofErr w:type="gramEnd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67.5亿元,同比增长99.1%;</w:t>
      </w:r>
      <w:proofErr w:type="gramStart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实现扣非后归母净利润</w:t>
      </w:r>
      <w:proofErr w:type="gramEnd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68.1亿元,同比增长95.6%;实现每股收益0.83元。上半年,受益于下游基建、房地产需求及更新需求持续增长,“一带一路”沿线国家出口等因素推动,工程机械行业景气度持续高涨,公司产品竞争力不断增强,各项业务均实现大幅增长;上半年创造了公司建立以来最好的经营业绩。第二季度,公司实现营收220.9亿元,同比增长38.4%;实现</w:t>
      </w:r>
      <w:proofErr w:type="gramStart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归母净利润</w:t>
      </w:r>
      <w:proofErr w:type="gramEnd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35.3亿元,同比增长86.7%。二季度公司业绩持续保持高速增长。</w:t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  <w:t>    盈利能力不断增强,资产质量持续提升,人均产值行业领先。上半年,公司毛利率达32.4%,同比提升0.7pct;净利率达16.0%,同比提升3.5pct;ROE达17.1%,同比提升4.9pct;公司期间费用率为11.8%,同比下降2.6pct。上半年公司毛利率、净利率、ROE均达到近年来的最高水平,但与2011年的峰值仍存在一定差距,公司仍有较大的盈利改善空间。上半年,公司应收账款周转率为1.9次,同比提升0.4次;存货周转率为2.7次,同比提升0.5次。公司逾期货款大幅下降,新增价值销售逾期率控制在历史最低水平。上半年,公司经营活动现金净现金流达76.0亿元,同比增长22.1%,再创历史新高。公司通过数字化转型,在未新增大型设备的情况下实现产能大幅提升,人均产值处于全球工程机械行业领先水平。</w:t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  <w:t>    起重机械增长迅猛,挖掘机</w:t>
      </w:r>
      <w:proofErr w:type="gramStart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市占率再上</w:t>
      </w:r>
      <w:proofErr w:type="gramEnd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台阶。上半年,公司挖掘机械/混凝土机械/起重机械/桩工机械/路面机械分别实现营收159.1/129.2/85.0/29.6/12.5亿元,分别同比增长42.6%/51.2%/107.2%/36.9%/43.9%,毛利率分别为36.8%/29.6%/25.8%/44.4%/36.5%。公司各项业务均实现快速增长,起重机械呈现翻倍式增长,起重机市场份额大幅提升。上半年,公司挖掘机销售3.5万台,同比增长32.0%,增速远超行业平均增速,</w:t>
      </w:r>
      <w:proofErr w:type="gramStart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市占率进一步</w:t>
      </w:r>
      <w:proofErr w:type="gramEnd"/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t>提升至25.5%,国内市场上已连续第九年蝉联销量冠军。公司混凝土机械稳居全球第一品牌,优势进一步扩大。桩工机械、摊铺机市场份额已居国内第一。</w:t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  <w:t>    投资建议:公司是我国工程机械行业龙头企业之一。我们预计公司2019/2020年的每股收益分别为1.36/1.54元,当前股价对应PE分别为9.9/8.7倍,维持公司“推荐”评级。</w:t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</w:r>
      <w:r w:rsidRPr="004F1F99">
        <w:rPr>
          <w:rFonts w:ascii="宋体" w:eastAsia="宋体" w:hAnsi="宋体" w:cs="宋体" w:hint="eastAsia"/>
          <w:color w:val="4E4E4E"/>
          <w:kern w:val="0"/>
          <w:szCs w:val="21"/>
        </w:rPr>
        <w:br/>
        <w:t>    风险提示:宏观经济下滑;行业景气度下降;市场恶性竞争;海外贸易环境恶化;业绩不及预期等。</w:t>
      </w:r>
    </w:p>
    <w:p w:rsidR="002E5450" w:rsidRDefault="002E5450" w:rsidP="002E5450">
      <w:pPr>
        <w:pStyle w:val="a4"/>
        <w:spacing w:before="300" w:after="450" w:line="480" w:lineRule="atLeast"/>
        <w:ind w:right="600"/>
      </w:pPr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免责声明：自媒体综合提供的内容均源自</w:t>
      </w:r>
      <w:proofErr w:type="gramStart"/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自</w:t>
      </w:r>
      <w:proofErr w:type="gramEnd"/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媒体，版权归原作者所有，转载请联系原作者并获许可。文章观点仅代表作</w:t>
      </w:r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lastRenderedPageBreak/>
        <w:t>者本人，不</w:t>
      </w:r>
      <w:proofErr w:type="gramStart"/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代表本网立场</w:t>
      </w:r>
      <w:proofErr w:type="gramEnd"/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。若内容涉及投资建议，仅供参考</w:t>
      </w:r>
      <w:proofErr w:type="gramStart"/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勿</w:t>
      </w:r>
      <w:proofErr w:type="gramEnd"/>
      <w:r>
        <w:rPr>
          <w:rFonts w:ascii="微软雅黑" w:eastAsia="微软雅黑" w:hAnsi="微软雅黑" w:hint="eastAsia"/>
          <w:color w:val="4D4F53"/>
          <w:spacing w:val="15"/>
          <w:sz w:val="27"/>
          <w:szCs w:val="27"/>
        </w:rPr>
        <w:t>作为投资依据。投资有风险，入市需谨慎。</w:t>
      </w:r>
    </w:p>
    <w:p w:rsidR="001331F8" w:rsidRPr="004F1F99" w:rsidRDefault="002E5450"/>
    <w:sectPr w:rsidR="001331F8" w:rsidRPr="004F1F99" w:rsidSect="00DD6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F99"/>
    <w:rsid w:val="002E5450"/>
    <w:rsid w:val="004F1F99"/>
    <w:rsid w:val="006E2363"/>
    <w:rsid w:val="00CE6C16"/>
    <w:rsid w:val="00D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D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1F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1F9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F1F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1F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stock.finance.sina.com.cn/q/go.php/vReport_List/kind/search/index.phtml?t1=4&amp;analysts=%C2%AC%C1%A2%CD%A4" TargetMode="External"/><Relationship Id="rId4" Type="http://schemas.openxmlformats.org/officeDocument/2006/relationships/hyperlink" Target="http://vip.stock.finance.sina.com.cn/q/go.php/vReport_List/kind/search/index.phtml?t1=1&amp;orgname=%B6%AB%DD%B8%D6%A4%C8%AF%B9%C9%B7%DD%D3%D0%CF%DE%B9%AB%CB%B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1369</Characters>
  <Application>Microsoft Office Word</Application>
  <DocSecurity>0</DocSecurity>
  <Lines>11</Lines>
  <Paragraphs>3</Paragraphs>
  <ScaleCrop>false</ScaleCrop>
  <Company>http://sdwm.org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2019-09-09T11:23:00Z</dcterms:created>
  <dcterms:modified xsi:type="dcterms:W3CDTF">2019-09-09T11:55:00Z</dcterms:modified>
</cp:coreProperties>
</file>